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74A4D" w14:textId="26F02F47" w:rsidR="0056631A" w:rsidRDefault="00D47E2E" w:rsidP="00843C68">
      <w:pPr>
        <w:spacing w:after="150"/>
        <w:jc w:val="center"/>
        <w:rPr>
          <w:b/>
          <w:sz w:val="28"/>
          <w:szCs w:val="28"/>
        </w:rPr>
      </w:pPr>
      <w:r>
        <w:rPr>
          <w:noProof/>
        </w:rPr>
        <w:drawing>
          <wp:anchor distT="0" distB="0" distL="114300" distR="114300" simplePos="0" relativeHeight="251659264" behindDoc="0" locked="0" layoutInCell="1" allowOverlap="1" wp14:anchorId="67526F5D" wp14:editId="4149F5D4">
            <wp:simplePos x="0" y="0"/>
            <wp:positionH relativeFrom="margin">
              <wp:align>center</wp:align>
            </wp:positionH>
            <wp:positionV relativeFrom="paragraph">
              <wp:posOffset>-638175</wp:posOffset>
            </wp:positionV>
            <wp:extent cx="1148316" cy="117983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8316" cy="1179830"/>
                    </a:xfrm>
                    <a:prstGeom prst="rect">
                      <a:avLst/>
                    </a:prstGeom>
                  </pic:spPr>
                </pic:pic>
              </a:graphicData>
            </a:graphic>
            <wp14:sizeRelH relativeFrom="margin">
              <wp14:pctWidth>0</wp14:pctWidth>
            </wp14:sizeRelH>
            <wp14:sizeRelV relativeFrom="margin">
              <wp14:pctHeight>0</wp14:pctHeight>
            </wp14:sizeRelV>
          </wp:anchor>
        </w:drawing>
      </w:r>
    </w:p>
    <w:p w14:paraId="4D23E9A7" w14:textId="7F9204A0" w:rsidR="0056631A" w:rsidRDefault="0056631A" w:rsidP="00D47E2E">
      <w:pPr>
        <w:spacing w:after="150"/>
        <w:rPr>
          <w:b/>
          <w:sz w:val="28"/>
          <w:szCs w:val="28"/>
        </w:rPr>
      </w:pPr>
    </w:p>
    <w:p w14:paraId="62F85DF3" w14:textId="77777777" w:rsidR="00D47E2E" w:rsidRPr="00C4764A" w:rsidRDefault="00D47E2E" w:rsidP="00D47E2E">
      <w:pPr>
        <w:spacing w:line="276" w:lineRule="auto"/>
        <w:jc w:val="center"/>
        <w:rPr>
          <w:rFonts w:ascii="Bell MT" w:hAnsi="Bell MT"/>
          <w:b/>
          <w:bCs/>
          <w:sz w:val="28"/>
        </w:rPr>
      </w:pPr>
      <w:r w:rsidRPr="00C4764A">
        <w:rPr>
          <w:rFonts w:ascii="Bell MT" w:hAnsi="Bell MT"/>
          <w:b/>
          <w:bCs/>
          <w:sz w:val="28"/>
        </w:rPr>
        <w:t>The Federal Government of Somalia</w:t>
      </w:r>
    </w:p>
    <w:p w14:paraId="6D391787" w14:textId="4A8A705F" w:rsidR="00D47E2E" w:rsidRPr="00C4764A" w:rsidRDefault="00D47E2E" w:rsidP="00D47E2E">
      <w:pPr>
        <w:pBdr>
          <w:bottom w:val="single" w:sz="12" w:space="0" w:color="auto"/>
        </w:pBdr>
        <w:spacing w:line="276" w:lineRule="auto"/>
        <w:jc w:val="center"/>
        <w:rPr>
          <w:rFonts w:ascii="Bell MT" w:hAnsi="Bell MT"/>
          <w:b/>
          <w:bCs/>
          <w:sz w:val="28"/>
        </w:rPr>
      </w:pPr>
      <w:r w:rsidRPr="00C4764A">
        <w:rPr>
          <w:rFonts w:ascii="Bell MT" w:hAnsi="Bell MT"/>
          <w:b/>
          <w:bCs/>
          <w:sz w:val="28"/>
        </w:rPr>
        <w:t xml:space="preserve">Office of the Auditor </w:t>
      </w:r>
      <w:r>
        <w:rPr>
          <w:rFonts w:ascii="Bell MT" w:hAnsi="Bell MT"/>
          <w:b/>
          <w:bCs/>
          <w:sz w:val="28"/>
        </w:rPr>
        <w:t>G</w:t>
      </w:r>
      <w:r w:rsidRPr="00C4764A">
        <w:rPr>
          <w:rFonts w:ascii="Bell MT" w:hAnsi="Bell MT"/>
          <w:b/>
          <w:bCs/>
          <w:sz w:val="28"/>
        </w:rPr>
        <w:t>eneral</w:t>
      </w:r>
    </w:p>
    <w:p w14:paraId="3E6C3337" w14:textId="4CF7A3DD" w:rsidR="00843C68" w:rsidRDefault="002F2F18" w:rsidP="00377DB4">
      <w:pPr>
        <w:spacing w:before="120"/>
        <w:jc w:val="center"/>
        <w:rPr>
          <w:b/>
        </w:rPr>
      </w:pPr>
      <w:r w:rsidRPr="0056631A">
        <w:rPr>
          <w:b/>
        </w:rPr>
        <w:t>REQUEST FOR EXPRESSIONS OF INTEREST</w:t>
      </w:r>
      <w:r w:rsidR="00843C68" w:rsidRPr="0056631A">
        <w:rPr>
          <w:b/>
        </w:rPr>
        <w:t xml:space="preserve"> (REOI)</w:t>
      </w:r>
    </w:p>
    <w:p w14:paraId="676305C1" w14:textId="053CA9EB" w:rsidR="0092549C" w:rsidRPr="0092549C" w:rsidRDefault="0092549C" w:rsidP="00377DB4">
      <w:pPr>
        <w:jc w:val="center"/>
        <w:rPr>
          <w:b/>
        </w:rPr>
      </w:pPr>
      <w:r w:rsidRPr="0092549C">
        <w:rPr>
          <w:b/>
        </w:rPr>
        <w:t>(</w:t>
      </w:r>
      <w:r w:rsidR="00377DB4">
        <w:rPr>
          <w:b/>
          <w:sz w:val="22"/>
          <w:szCs w:val="22"/>
        </w:rPr>
        <w:t>Independent Verification Agent Services</w:t>
      </w:r>
      <w:r w:rsidR="001622CC">
        <w:rPr>
          <w:b/>
        </w:rPr>
        <w:t>)</w:t>
      </w:r>
    </w:p>
    <w:p w14:paraId="53563D36" w14:textId="77777777" w:rsidR="0092549C" w:rsidRPr="00FD472E" w:rsidRDefault="0092549C" w:rsidP="00FD472E">
      <w:pPr>
        <w:spacing w:after="150"/>
        <w:jc w:val="center"/>
        <w:rPr>
          <w:b/>
        </w:rPr>
      </w:pPr>
    </w:p>
    <w:p w14:paraId="5FB65549" w14:textId="1DE9977C" w:rsidR="00DB4E1F" w:rsidRPr="00DB4E1F" w:rsidRDefault="002F2F18" w:rsidP="00C870FD">
      <w:pPr>
        <w:rPr>
          <w:b/>
          <w:sz w:val="22"/>
          <w:szCs w:val="22"/>
        </w:rPr>
      </w:pPr>
      <w:r w:rsidRPr="0056631A">
        <w:rPr>
          <w:sz w:val="22"/>
          <w:szCs w:val="22"/>
        </w:rPr>
        <w:t xml:space="preserve">COUNTRY: </w:t>
      </w:r>
      <w:r w:rsidR="0056631A" w:rsidRPr="0056631A">
        <w:rPr>
          <w:sz w:val="22"/>
          <w:szCs w:val="22"/>
        </w:rPr>
        <w:tab/>
      </w:r>
      <w:r w:rsidR="0056631A" w:rsidRPr="0056631A">
        <w:rPr>
          <w:sz w:val="22"/>
          <w:szCs w:val="22"/>
        </w:rPr>
        <w:tab/>
      </w:r>
      <w:r w:rsidRPr="0056631A">
        <w:rPr>
          <w:b/>
          <w:sz w:val="22"/>
          <w:szCs w:val="22"/>
        </w:rPr>
        <w:t>Federal Republic of Somalia</w:t>
      </w:r>
      <w:r w:rsidR="0056631A" w:rsidRPr="0056631A">
        <w:rPr>
          <w:b/>
          <w:sz w:val="22"/>
          <w:szCs w:val="22"/>
        </w:rPr>
        <w:t xml:space="preserve"> (FGS)</w:t>
      </w:r>
    </w:p>
    <w:p w14:paraId="52B7AFF2" w14:textId="564904B0" w:rsidR="00BA4A08" w:rsidRPr="006C7442" w:rsidRDefault="002F2F18" w:rsidP="006209F1">
      <w:pPr>
        <w:rPr>
          <w:b/>
          <w:color w:val="26282A"/>
          <w:sz w:val="22"/>
          <w:szCs w:val="22"/>
          <w:shd w:val="clear" w:color="auto" w:fill="FFFFFF"/>
        </w:rPr>
      </w:pPr>
      <w:r w:rsidRPr="0056631A">
        <w:rPr>
          <w:sz w:val="22"/>
          <w:szCs w:val="22"/>
        </w:rPr>
        <w:t xml:space="preserve">NAME OF PROJECT: </w:t>
      </w:r>
      <w:r w:rsidR="006209F1">
        <w:rPr>
          <w:sz w:val="22"/>
          <w:szCs w:val="22"/>
        </w:rPr>
        <w:tab/>
      </w:r>
      <w:r w:rsidR="00DB4E1F" w:rsidRPr="005B4499">
        <w:rPr>
          <w:b/>
          <w:color w:val="26282A"/>
          <w:sz w:val="22"/>
          <w:szCs w:val="22"/>
          <w:shd w:val="clear" w:color="auto" w:fill="FFFFFF"/>
        </w:rPr>
        <w:t xml:space="preserve">Somalia Recurrent Cost &amp; Reform Financing </w:t>
      </w:r>
      <w:r w:rsidR="00377DB4">
        <w:rPr>
          <w:b/>
          <w:color w:val="26282A"/>
          <w:sz w:val="22"/>
          <w:szCs w:val="22"/>
          <w:shd w:val="clear" w:color="auto" w:fill="FFFFFF"/>
        </w:rPr>
        <w:t xml:space="preserve">(RCRF) </w:t>
      </w:r>
      <w:r w:rsidR="00DB4E1F" w:rsidRPr="005B4499">
        <w:rPr>
          <w:b/>
          <w:color w:val="26282A"/>
          <w:sz w:val="22"/>
          <w:szCs w:val="22"/>
          <w:shd w:val="clear" w:color="auto" w:fill="FFFFFF"/>
        </w:rPr>
        <w:t>Project - Phase II</w:t>
      </w:r>
      <w:r w:rsidR="00DB4E1F">
        <w:rPr>
          <w:b/>
          <w:color w:val="26282A"/>
          <w:sz w:val="22"/>
          <w:szCs w:val="22"/>
          <w:shd w:val="clear" w:color="auto" w:fill="FFFFFF"/>
        </w:rPr>
        <w:t>I</w:t>
      </w:r>
      <w:r w:rsidR="006C7442">
        <w:rPr>
          <w:b/>
          <w:color w:val="26282A"/>
          <w:sz w:val="22"/>
          <w:szCs w:val="22"/>
          <w:shd w:val="clear" w:color="auto" w:fill="FFFFFF"/>
        </w:rPr>
        <w:t xml:space="preserve">                                   </w:t>
      </w:r>
    </w:p>
    <w:p w14:paraId="3FCA69E5" w14:textId="3A89B318" w:rsidR="00DB4E1F" w:rsidRDefault="002F2F18" w:rsidP="00C870FD">
      <w:pPr>
        <w:rPr>
          <w:b/>
          <w:color w:val="26282A"/>
          <w:sz w:val="22"/>
          <w:szCs w:val="22"/>
          <w:shd w:val="clear" w:color="auto" w:fill="FFFFFF"/>
        </w:rPr>
      </w:pPr>
      <w:r w:rsidRPr="0056631A">
        <w:rPr>
          <w:bCs/>
          <w:sz w:val="22"/>
          <w:szCs w:val="22"/>
        </w:rPr>
        <w:t>PROJECT ID</w:t>
      </w:r>
      <w:r w:rsidRPr="0056631A">
        <w:rPr>
          <w:b/>
          <w:bCs/>
          <w:sz w:val="22"/>
          <w:szCs w:val="22"/>
        </w:rPr>
        <w:t>: </w:t>
      </w:r>
      <w:r w:rsidR="0056631A" w:rsidRPr="0056631A">
        <w:rPr>
          <w:b/>
          <w:bCs/>
          <w:sz w:val="22"/>
          <w:szCs w:val="22"/>
        </w:rPr>
        <w:tab/>
      </w:r>
      <w:r w:rsidR="0056631A" w:rsidRPr="0056631A">
        <w:rPr>
          <w:b/>
          <w:bCs/>
          <w:sz w:val="22"/>
          <w:szCs w:val="22"/>
        </w:rPr>
        <w:tab/>
      </w:r>
      <w:r w:rsidR="00DB4E1F">
        <w:rPr>
          <w:b/>
          <w:color w:val="26282A"/>
          <w:sz w:val="22"/>
          <w:szCs w:val="22"/>
          <w:shd w:val="clear" w:color="auto" w:fill="FFFFFF"/>
        </w:rPr>
        <w:t>P173731</w:t>
      </w:r>
      <w:r w:rsidR="00DB4E1F">
        <w:rPr>
          <w:b/>
          <w:bCs/>
          <w:sz w:val="22"/>
          <w:szCs w:val="22"/>
        </w:rPr>
        <w:tab/>
      </w:r>
      <w:r w:rsidR="00DB4E1F">
        <w:rPr>
          <w:b/>
          <w:bCs/>
          <w:sz w:val="22"/>
          <w:szCs w:val="22"/>
        </w:rPr>
        <w:tab/>
      </w:r>
      <w:r w:rsidR="00DB4E1F" w:rsidRPr="0056631A">
        <w:rPr>
          <w:sz w:val="22"/>
          <w:szCs w:val="22"/>
        </w:rPr>
        <w:t xml:space="preserve">Grant No.: </w:t>
      </w:r>
      <w:r w:rsidR="00DB4E1F">
        <w:rPr>
          <w:b/>
          <w:color w:val="26282A"/>
          <w:sz w:val="22"/>
          <w:szCs w:val="22"/>
          <w:shd w:val="clear" w:color="auto" w:fill="FFFFFF"/>
        </w:rPr>
        <w:t>IDA-D6580-SO</w:t>
      </w:r>
    </w:p>
    <w:p w14:paraId="4FA87F8D" w14:textId="77777777" w:rsidR="00DB4E1F" w:rsidRPr="00EE39F0" w:rsidRDefault="00DB4E1F" w:rsidP="00C870FD">
      <w:pPr>
        <w:rPr>
          <w:b/>
          <w:bCs/>
          <w:sz w:val="22"/>
          <w:szCs w:val="22"/>
        </w:rPr>
      </w:pPr>
    </w:p>
    <w:p w14:paraId="35209821" w14:textId="680F1EEC" w:rsidR="0056631A" w:rsidRDefault="002F2F18" w:rsidP="00C870FD">
      <w:pPr>
        <w:ind w:left="2160" w:hanging="2160"/>
        <w:rPr>
          <w:b/>
          <w:sz w:val="22"/>
          <w:szCs w:val="22"/>
        </w:rPr>
      </w:pPr>
      <w:r w:rsidRPr="0056631A">
        <w:rPr>
          <w:sz w:val="22"/>
          <w:szCs w:val="22"/>
        </w:rPr>
        <w:t>Assignment Title:</w:t>
      </w:r>
      <w:r w:rsidR="0056631A" w:rsidRPr="0056631A">
        <w:rPr>
          <w:sz w:val="22"/>
          <w:szCs w:val="22"/>
        </w:rPr>
        <w:tab/>
      </w:r>
      <w:r w:rsidR="00DB4E1F">
        <w:rPr>
          <w:b/>
          <w:sz w:val="22"/>
          <w:szCs w:val="22"/>
        </w:rPr>
        <w:t xml:space="preserve">Independent Verification of RCRF </w:t>
      </w:r>
      <w:r w:rsidR="00EE00FE">
        <w:rPr>
          <w:b/>
          <w:sz w:val="22"/>
          <w:szCs w:val="22"/>
        </w:rPr>
        <w:t xml:space="preserve">Eligible </w:t>
      </w:r>
      <w:r w:rsidR="00377DB4">
        <w:rPr>
          <w:b/>
          <w:sz w:val="22"/>
          <w:szCs w:val="22"/>
        </w:rPr>
        <w:t xml:space="preserve">Expenditure </w:t>
      </w:r>
      <w:r w:rsidR="00DB4E1F">
        <w:rPr>
          <w:b/>
          <w:sz w:val="22"/>
          <w:szCs w:val="22"/>
        </w:rPr>
        <w:t>Program</w:t>
      </w:r>
      <w:r w:rsidR="0088658A">
        <w:rPr>
          <w:b/>
          <w:sz w:val="22"/>
          <w:szCs w:val="22"/>
        </w:rPr>
        <w:t xml:space="preserve"> for FY 2022/23</w:t>
      </w:r>
    </w:p>
    <w:p w14:paraId="27222A2A" w14:textId="77777777" w:rsidR="00EE00FE" w:rsidRPr="0056631A" w:rsidRDefault="00EE00FE" w:rsidP="00C870FD">
      <w:pPr>
        <w:ind w:left="2160" w:hanging="2160"/>
        <w:rPr>
          <w:b/>
          <w:sz w:val="22"/>
          <w:szCs w:val="22"/>
        </w:rPr>
      </w:pPr>
      <w:bookmarkStart w:id="0" w:name="_GoBack"/>
      <w:bookmarkEnd w:id="0"/>
    </w:p>
    <w:p w14:paraId="374D8357" w14:textId="4FBA162C" w:rsidR="00C944E4" w:rsidRDefault="002F2F18" w:rsidP="00C870FD">
      <w:pPr>
        <w:rPr>
          <w:sz w:val="22"/>
          <w:szCs w:val="22"/>
        </w:rPr>
      </w:pPr>
      <w:r w:rsidRPr="0056631A">
        <w:rPr>
          <w:sz w:val="22"/>
          <w:szCs w:val="22"/>
        </w:rPr>
        <w:t>Reference No.</w:t>
      </w:r>
      <w:r w:rsidR="0056631A" w:rsidRPr="0056631A">
        <w:rPr>
          <w:sz w:val="22"/>
          <w:szCs w:val="22"/>
        </w:rPr>
        <w:t>:</w:t>
      </w:r>
      <w:r w:rsidR="0056631A" w:rsidRPr="0056631A">
        <w:rPr>
          <w:sz w:val="22"/>
          <w:szCs w:val="22"/>
        </w:rPr>
        <w:tab/>
      </w:r>
      <w:r w:rsidR="0056631A" w:rsidRPr="0056631A">
        <w:rPr>
          <w:sz w:val="22"/>
          <w:szCs w:val="22"/>
        </w:rPr>
        <w:tab/>
      </w:r>
      <w:r w:rsidRPr="0056631A">
        <w:rPr>
          <w:sz w:val="22"/>
          <w:szCs w:val="22"/>
        </w:rPr>
        <w:t xml:space="preserve"> </w:t>
      </w:r>
      <w:r w:rsidR="001603EC" w:rsidRPr="00EE00FE">
        <w:rPr>
          <w:sz w:val="22"/>
          <w:szCs w:val="22"/>
        </w:rPr>
        <w:t>SO-MOF-</w:t>
      </w:r>
      <w:r w:rsidR="00EE00FE" w:rsidRPr="00EE00FE">
        <w:rPr>
          <w:sz w:val="22"/>
          <w:szCs w:val="22"/>
        </w:rPr>
        <w:t>290903</w:t>
      </w:r>
      <w:r w:rsidR="00EF523B" w:rsidRPr="00EE00FE">
        <w:rPr>
          <w:sz w:val="22"/>
          <w:szCs w:val="22"/>
        </w:rPr>
        <w:t>-CS-LCS</w:t>
      </w:r>
    </w:p>
    <w:p w14:paraId="13138ADE" w14:textId="77777777" w:rsidR="00DB4E1F" w:rsidRPr="00C870FD" w:rsidRDefault="00DB4E1F" w:rsidP="00C870FD">
      <w:pPr>
        <w:rPr>
          <w:sz w:val="22"/>
          <w:szCs w:val="22"/>
          <w:lang w:val="en-GB"/>
        </w:rPr>
      </w:pPr>
    </w:p>
    <w:p w14:paraId="4172AD67" w14:textId="19927C7F" w:rsidR="00E136B7" w:rsidRPr="0056631A" w:rsidRDefault="00E136B7" w:rsidP="00C870FD">
      <w:pPr>
        <w:rPr>
          <w:rFonts w:eastAsiaTheme="minorHAnsi"/>
          <w:b/>
          <w:sz w:val="22"/>
          <w:szCs w:val="22"/>
        </w:rPr>
      </w:pPr>
      <w:r w:rsidRPr="0056631A">
        <w:rPr>
          <w:sz w:val="22"/>
          <w:szCs w:val="22"/>
        </w:rPr>
        <w:t xml:space="preserve">Place of </w:t>
      </w:r>
      <w:r w:rsidR="001D47A9" w:rsidRPr="0056631A">
        <w:rPr>
          <w:sz w:val="22"/>
          <w:szCs w:val="22"/>
        </w:rPr>
        <w:t>a</w:t>
      </w:r>
      <w:r w:rsidRPr="0056631A">
        <w:rPr>
          <w:sz w:val="22"/>
          <w:szCs w:val="22"/>
        </w:rPr>
        <w:t>ssignment:</w:t>
      </w:r>
      <w:r w:rsidR="001D47A9" w:rsidRPr="0056631A">
        <w:rPr>
          <w:b/>
          <w:sz w:val="22"/>
          <w:szCs w:val="22"/>
        </w:rPr>
        <w:t xml:space="preserve"> </w:t>
      </w:r>
      <w:r w:rsidR="0056631A">
        <w:rPr>
          <w:b/>
          <w:sz w:val="22"/>
          <w:szCs w:val="22"/>
        </w:rPr>
        <w:tab/>
      </w:r>
      <w:r w:rsidRPr="0056631A">
        <w:rPr>
          <w:b/>
          <w:sz w:val="22"/>
          <w:szCs w:val="22"/>
        </w:rPr>
        <w:t xml:space="preserve"> </w:t>
      </w:r>
      <w:r w:rsidR="0056631A" w:rsidRPr="0056631A">
        <w:rPr>
          <w:rFonts w:eastAsiaTheme="minorHAnsi"/>
          <w:b/>
          <w:sz w:val="22"/>
          <w:szCs w:val="22"/>
        </w:rPr>
        <w:t>Mogadishu, Somalia</w:t>
      </w:r>
      <w:r w:rsidR="00A00065" w:rsidRPr="0056631A">
        <w:rPr>
          <w:rFonts w:eastAsiaTheme="minorHAnsi"/>
          <w:b/>
          <w:sz w:val="22"/>
          <w:szCs w:val="22"/>
        </w:rPr>
        <w:t xml:space="preserve"> </w:t>
      </w:r>
    </w:p>
    <w:p w14:paraId="050B1129" w14:textId="4CE9B7F2" w:rsidR="00943FB9" w:rsidRPr="00843C68" w:rsidRDefault="00DE56B4" w:rsidP="002F2F18">
      <w:pPr>
        <w:spacing w:after="150"/>
        <w:rPr>
          <w:b/>
          <w:sz w:val="22"/>
          <w:szCs w:val="22"/>
        </w:rPr>
      </w:pPr>
      <w:r>
        <w:rPr>
          <w:b/>
          <w:sz w:val="22"/>
          <w:szCs w:val="22"/>
        </w:rPr>
        <w:t>Closing Date:</w:t>
      </w:r>
      <w:r>
        <w:rPr>
          <w:b/>
          <w:sz w:val="22"/>
          <w:szCs w:val="22"/>
        </w:rPr>
        <w:tab/>
      </w:r>
      <w:r>
        <w:rPr>
          <w:b/>
          <w:sz w:val="22"/>
          <w:szCs w:val="22"/>
        </w:rPr>
        <w:tab/>
      </w:r>
      <w:r w:rsidR="00DB4E1F">
        <w:rPr>
          <w:b/>
          <w:sz w:val="22"/>
          <w:szCs w:val="22"/>
        </w:rPr>
        <w:t>25</w:t>
      </w:r>
      <w:r w:rsidR="00DB4E1F" w:rsidRPr="00DB4E1F">
        <w:rPr>
          <w:b/>
          <w:sz w:val="22"/>
          <w:szCs w:val="22"/>
          <w:vertAlign w:val="superscript"/>
        </w:rPr>
        <w:t>th</w:t>
      </w:r>
      <w:r w:rsidR="00DB4E1F">
        <w:rPr>
          <w:b/>
          <w:sz w:val="22"/>
          <w:szCs w:val="22"/>
        </w:rPr>
        <w:t xml:space="preserve"> May, 2022</w:t>
      </w:r>
    </w:p>
    <w:p w14:paraId="79D376C9" w14:textId="77777777" w:rsidR="00DE56B4" w:rsidRDefault="00DE56B4" w:rsidP="00000AC0">
      <w:pPr>
        <w:jc w:val="both"/>
      </w:pPr>
    </w:p>
    <w:p w14:paraId="73EF8BF3" w14:textId="2026352F" w:rsidR="00000AC0" w:rsidRDefault="0088658A" w:rsidP="00000AC0">
      <w:pPr>
        <w:jc w:val="both"/>
        <w:rPr>
          <w:lang w:val="en-GB"/>
        </w:rPr>
      </w:pPr>
      <w:r w:rsidRPr="0088658A">
        <w:t xml:space="preserve">The Federal Government of Somalia (FGS) has entered into agreements for grants and financing with the World Bank </w:t>
      </w:r>
      <w:r w:rsidR="00377DB4">
        <w:t>and is implementing</w:t>
      </w:r>
      <w:r w:rsidRPr="0088658A">
        <w:t xml:space="preserve"> the Recurrent Cost and Refo</w:t>
      </w:r>
      <w:r>
        <w:t>rm Financing, Phase II and Phase III Projects.</w:t>
      </w:r>
      <w:r w:rsidRPr="0088658A">
        <w:t xml:space="preserve"> The Projects are a central instrument in the World Bank Somalia Project portfolio and are an important source of financing and support to the FGS and F</w:t>
      </w:r>
      <w:r>
        <w:t xml:space="preserve">ederal </w:t>
      </w:r>
      <w:r w:rsidRPr="0088658A">
        <w:t>M</w:t>
      </w:r>
      <w:r>
        <w:t xml:space="preserve">ember </w:t>
      </w:r>
      <w:r w:rsidRPr="0088658A">
        <w:t>S</w:t>
      </w:r>
      <w:r>
        <w:t>tates (FMS)</w:t>
      </w:r>
      <w:r w:rsidR="00000AC0" w:rsidRPr="00D47A4C">
        <w:rPr>
          <w:lang w:val="en-GB"/>
        </w:rPr>
        <w:t>.</w:t>
      </w:r>
      <w:r>
        <w:rPr>
          <w:lang w:val="en-GB"/>
        </w:rPr>
        <w:t xml:space="preserve"> </w:t>
      </w:r>
    </w:p>
    <w:p w14:paraId="06D296C1" w14:textId="0A286E2D" w:rsidR="0088658A" w:rsidRDefault="0088658A" w:rsidP="00000AC0">
      <w:pPr>
        <w:jc w:val="both"/>
        <w:rPr>
          <w:lang w:val="en-GB"/>
        </w:rPr>
      </w:pPr>
    </w:p>
    <w:p w14:paraId="343E6C65" w14:textId="586B3733" w:rsidR="0088658A" w:rsidRPr="0088658A" w:rsidRDefault="00377DB4" w:rsidP="000918CB">
      <w:pPr>
        <w:spacing w:after="120"/>
        <w:jc w:val="both"/>
      </w:pPr>
      <w:r>
        <w:t>U</w:t>
      </w:r>
      <w:r w:rsidR="0088658A" w:rsidRPr="0088658A">
        <w:t>nder RCRF II, up to USD 10 million of Project financing was planned to be made available should FGS perform</w:t>
      </w:r>
      <w:r w:rsidR="000918CB">
        <w:t xml:space="preserve"> satisfactorily and:</w:t>
      </w:r>
    </w:p>
    <w:p w14:paraId="59D11FE1" w14:textId="73FCF1B4" w:rsidR="0088658A" w:rsidRPr="0088658A" w:rsidRDefault="0088658A" w:rsidP="00377DB4">
      <w:pPr>
        <w:numPr>
          <w:ilvl w:val="0"/>
          <w:numId w:val="20"/>
        </w:numPr>
        <w:jc w:val="both"/>
      </w:pPr>
      <w:r w:rsidRPr="0088658A">
        <w:t>demonstrate</w:t>
      </w:r>
      <w:r w:rsidR="00377DB4">
        <w:t xml:space="preserve"> reform progress and results </w:t>
      </w:r>
      <w:r w:rsidRPr="0088658A">
        <w:t>measured through Disbursement-Based-Indicators (DLI</w:t>
      </w:r>
      <w:r w:rsidR="00377DB4">
        <w:t xml:space="preserve">s) agreed </w:t>
      </w:r>
      <w:r w:rsidRPr="0088658A">
        <w:t xml:space="preserve">between </w:t>
      </w:r>
      <w:r w:rsidR="000918CB">
        <w:t>the FGS and the World Bank.</w:t>
      </w:r>
    </w:p>
    <w:p w14:paraId="46C0D5A0" w14:textId="204F7C4A" w:rsidR="0088658A" w:rsidRDefault="0088658A" w:rsidP="00377DB4">
      <w:pPr>
        <w:numPr>
          <w:ilvl w:val="0"/>
          <w:numId w:val="20"/>
        </w:numPr>
        <w:jc w:val="both"/>
      </w:pPr>
      <w:r w:rsidRPr="0088658A">
        <w:t>incur sufficient eligible costs not otherwise funded under the Project, known as the Eligible Expenditure Program (EEP).</w:t>
      </w:r>
    </w:p>
    <w:p w14:paraId="245FF24F" w14:textId="77777777" w:rsidR="00377DB4" w:rsidRPr="0088658A" w:rsidRDefault="00377DB4" w:rsidP="00377DB4">
      <w:pPr>
        <w:ind w:left="360"/>
        <w:jc w:val="both"/>
      </w:pPr>
    </w:p>
    <w:p w14:paraId="4C176FC4" w14:textId="5595D05D" w:rsidR="0088658A" w:rsidRDefault="000918CB" w:rsidP="00454FEB">
      <w:pPr>
        <w:jc w:val="both"/>
        <w:rPr>
          <w:lang w:val="en-GB"/>
        </w:rPr>
      </w:pPr>
      <w:r w:rsidRPr="000918CB">
        <w:t xml:space="preserve">The RCRF III Project became effective in December, 2020. Similarly, the eligible expenditures and achievement of the Performance-Based Conditions (PBCs) will be independently verified by the </w:t>
      </w:r>
      <w:r w:rsidR="00454FEB" w:rsidRPr="00454FEB">
        <w:t xml:space="preserve">Office of the Auditor General of Somalia (OAGS) </w:t>
      </w:r>
      <w:r w:rsidRPr="000918CB">
        <w:t>with support of technical assistance</w:t>
      </w:r>
      <w:r w:rsidR="00454FEB">
        <w:t xml:space="preserve"> </w:t>
      </w:r>
      <w:r w:rsidR="00454FEB" w:rsidRPr="009D76C4">
        <w:t>in a collaborative manner involving the FMS-level OAGs</w:t>
      </w:r>
      <w:r w:rsidR="00377DB4">
        <w:t>.</w:t>
      </w:r>
    </w:p>
    <w:p w14:paraId="2952CD76" w14:textId="77777777" w:rsidR="000B29E1" w:rsidRPr="00000AC0" w:rsidRDefault="000B29E1" w:rsidP="00000AC0">
      <w:pPr>
        <w:jc w:val="both"/>
        <w:rPr>
          <w:rFonts w:eastAsia="Calibri"/>
        </w:rPr>
      </w:pPr>
    </w:p>
    <w:p w14:paraId="7541BA8A" w14:textId="07091F8C" w:rsidR="00FE3597" w:rsidRPr="00F01A01" w:rsidRDefault="00837269" w:rsidP="00FE3597">
      <w:pPr>
        <w:jc w:val="both"/>
        <w:rPr>
          <w:lang w:bidi="en-US"/>
        </w:rPr>
      </w:pPr>
      <w:r w:rsidRPr="00F01A01">
        <w:rPr>
          <w:rFonts w:eastAsia="MS Mincho"/>
        </w:rPr>
        <w:t xml:space="preserve">The Ministry of Finance intends to apply part of the proceeds of the Grant to engage </w:t>
      </w:r>
      <w:r w:rsidRPr="00377DB4">
        <w:rPr>
          <w:rFonts w:eastAsia="MS Mincho"/>
        </w:rPr>
        <w:t>a registered</w:t>
      </w:r>
      <w:r w:rsidR="00377DB4">
        <w:rPr>
          <w:rFonts w:eastAsia="MS Mincho"/>
        </w:rPr>
        <w:t xml:space="preserve"> and</w:t>
      </w:r>
      <w:r w:rsidR="00F01A01" w:rsidRPr="00377DB4">
        <w:rPr>
          <w:rFonts w:eastAsia="MS Mincho"/>
        </w:rPr>
        <w:t xml:space="preserve"> </w:t>
      </w:r>
      <w:r w:rsidR="00377DB4">
        <w:rPr>
          <w:rFonts w:eastAsia="Arial Unicode MS"/>
          <w:lang w:val="en-GB"/>
        </w:rPr>
        <w:t>practicing audit</w:t>
      </w:r>
      <w:r w:rsidR="000918CB" w:rsidRPr="00377DB4">
        <w:rPr>
          <w:rFonts w:eastAsia="Arial Unicode MS"/>
          <w:lang w:val="en-GB"/>
        </w:rPr>
        <w:t xml:space="preserve"> firm with</w:t>
      </w:r>
      <w:r w:rsidR="00F01A01" w:rsidRPr="00377DB4">
        <w:rPr>
          <w:rFonts w:eastAsia="Arial Unicode MS"/>
          <w:lang w:val="en-GB"/>
        </w:rPr>
        <w:t xml:space="preserve"> competency</w:t>
      </w:r>
      <w:r w:rsidR="00F01A01" w:rsidRPr="00F01A01">
        <w:rPr>
          <w:rFonts w:eastAsia="Arial Unicode MS"/>
          <w:lang w:val="en-GB"/>
        </w:rPr>
        <w:t xml:space="preserve"> </w:t>
      </w:r>
      <w:r w:rsidRPr="00F01A01">
        <w:rPr>
          <w:rFonts w:eastAsia="MS Mincho"/>
        </w:rPr>
        <w:t xml:space="preserve">to </w:t>
      </w:r>
      <w:r w:rsidR="000918CB">
        <w:rPr>
          <w:rFonts w:eastAsia="Arial Unicode MS"/>
          <w:bCs/>
          <w:lang w:val="en-GB"/>
        </w:rPr>
        <w:t>provide</w:t>
      </w:r>
      <w:r w:rsidR="00CB5525">
        <w:rPr>
          <w:rFonts w:eastAsia="Arial Unicode MS"/>
          <w:bCs/>
          <w:lang w:val="en-GB"/>
        </w:rPr>
        <w:t xml:space="preserve"> support through</w:t>
      </w:r>
      <w:r w:rsidR="000918CB">
        <w:rPr>
          <w:rFonts w:eastAsia="Arial Unicode MS"/>
          <w:bCs/>
          <w:lang w:val="en-GB"/>
        </w:rPr>
        <w:t xml:space="preserve"> technical assistance </w:t>
      </w:r>
      <w:r w:rsidR="00CB5525">
        <w:rPr>
          <w:rFonts w:eastAsia="Arial Unicode MS"/>
          <w:bCs/>
          <w:lang w:val="en-GB"/>
        </w:rPr>
        <w:t>to</w:t>
      </w:r>
      <w:r w:rsidR="00377DB4">
        <w:rPr>
          <w:rFonts w:eastAsia="Arial Unicode MS"/>
          <w:bCs/>
          <w:lang w:val="en-GB"/>
        </w:rPr>
        <w:t xml:space="preserve"> the</w:t>
      </w:r>
      <w:r w:rsidR="00CB5525">
        <w:rPr>
          <w:rFonts w:eastAsia="Arial Unicode MS"/>
          <w:bCs/>
          <w:lang w:val="en-GB"/>
        </w:rPr>
        <w:t xml:space="preserve"> </w:t>
      </w:r>
      <w:r w:rsidR="00573849" w:rsidRPr="00F01A01">
        <w:rPr>
          <w:rFonts w:eastAsia="Arial Unicode MS"/>
          <w:lang w:val="en-GB"/>
        </w:rPr>
        <w:t>Office of the Auditor General of Somalia (OAGS)</w:t>
      </w:r>
      <w:r w:rsidR="00454FEB">
        <w:rPr>
          <w:rFonts w:eastAsia="Arial Unicode MS"/>
          <w:lang w:val="en-GB"/>
        </w:rPr>
        <w:t xml:space="preserve"> and the FMS-level OAGs to </w:t>
      </w:r>
      <w:r w:rsidR="00CB5525">
        <w:rPr>
          <w:rFonts w:eastAsia="Arial Unicode MS"/>
          <w:lang w:val="en-GB"/>
        </w:rPr>
        <w:t>carry out</w:t>
      </w:r>
      <w:r w:rsidR="00454FEB">
        <w:rPr>
          <w:rFonts w:eastAsia="Arial Unicode MS"/>
          <w:lang w:val="en-GB"/>
        </w:rPr>
        <w:t xml:space="preserve"> the indepe</w:t>
      </w:r>
      <w:r w:rsidR="00CB5525">
        <w:rPr>
          <w:rFonts w:eastAsia="Arial Unicode MS"/>
          <w:lang w:val="en-GB"/>
        </w:rPr>
        <w:t xml:space="preserve">ndent verification of the RCRF </w:t>
      </w:r>
      <w:r w:rsidR="00377DB4">
        <w:rPr>
          <w:rFonts w:eastAsia="Arial Unicode MS"/>
          <w:lang w:val="en-GB"/>
        </w:rPr>
        <w:t xml:space="preserve">Eligible </w:t>
      </w:r>
      <w:r w:rsidR="00CB5525">
        <w:rPr>
          <w:rFonts w:eastAsia="Arial Unicode MS"/>
          <w:lang w:val="en-GB"/>
        </w:rPr>
        <w:t>E</w:t>
      </w:r>
      <w:r w:rsidR="00454FEB">
        <w:rPr>
          <w:rFonts w:eastAsia="Arial Unicode MS"/>
          <w:lang w:val="en-GB"/>
        </w:rPr>
        <w:t xml:space="preserve">xpenditure </w:t>
      </w:r>
      <w:r w:rsidR="00CB5525">
        <w:rPr>
          <w:rFonts w:eastAsia="Arial Unicode MS"/>
          <w:lang w:val="en-GB"/>
        </w:rPr>
        <w:t>Program</w:t>
      </w:r>
      <w:r w:rsidR="00377DB4">
        <w:rPr>
          <w:rFonts w:eastAsia="Arial Unicode MS"/>
          <w:lang w:val="en-GB"/>
        </w:rPr>
        <w:t xml:space="preserve"> and achie</w:t>
      </w:r>
      <w:r w:rsidR="00221215">
        <w:rPr>
          <w:rFonts w:eastAsia="Arial Unicode MS"/>
          <w:lang w:val="en-GB"/>
        </w:rPr>
        <w:t>ve</w:t>
      </w:r>
      <w:r w:rsidR="00377DB4">
        <w:rPr>
          <w:rFonts w:eastAsia="Arial Unicode MS"/>
          <w:lang w:val="en-GB"/>
        </w:rPr>
        <w:t>ments of the</w:t>
      </w:r>
      <w:r w:rsidR="00221215">
        <w:rPr>
          <w:rFonts w:eastAsia="Arial Unicode MS"/>
          <w:lang w:val="en-GB"/>
        </w:rPr>
        <w:t xml:space="preserve"> PBCs. </w:t>
      </w:r>
    </w:p>
    <w:p w14:paraId="5E49FB2B" w14:textId="77777777" w:rsidR="00FE3597" w:rsidRPr="00573849" w:rsidRDefault="00FE3597" w:rsidP="005B2EBE">
      <w:pPr>
        <w:jc w:val="both"/>
        <w:rPr>
          <w:sz w:val="22"/>
          <w:szCs w:val="22"/>
        </w:rPr>
      </w:pPr>
    </w:p>
    <w:p w14:paraId="1C832D60" w14:textId="3128C036" w:rsidR="00CB5525" w:rsidRDefault="00FE3597" w:rsidP="00275177">
      <w:pPr>
        <w:jc w:val="both"/>
      </w:pPr>
      <w:r w:rsidRPr="00E51059">
        <w:lastRenderedPageBreak/>
        <w:t xml:space="preserve">The consulting services (“Services”) </w:t>
      </w:r>
      <w:r w:rsidR="00F01A01">
        <w:t>is</w:t>
      </w:r>
      <w:r w:rsidR="00573849" w:rsidRPr="00E51059">
        <w:rPr>
          <w:rFonts w:eastAsia="Arial Unicode MS"/>
          <w:lang w:val="en-GB"/>
        </w:rPr>
        <w:t xml:space="preserve"> to be carried out </w:t>
      </w:r>
      <w:r w:rsidR="00CB5525">
        <w:rPr>
          <w:rFonts w:eastAsia="Arial Unicode MS"/>
          <w:lang w:val="en-GB"/>
        </w:rPr>
        <w:t xml:space="preserve">with the objective to enable </w:t>
      </w:r>
      <w:r w:rsidR="00CB5525" w:rsidRPr="00CB5525">
        <w:t>the OAGS to effectively take responsibility for verification activities and deliver reports to the World Bank on: a) verification of FGS actions and performance on DLIs, and the sufficiency of the EEP, under RCRF II and; b) verification of FGS and FMS actions and performance on Performance Based Conditions (PBCs) and eligible expenditures under RCRF III.</w:t>
      </w:r>
    </w:p>
    <w:p w14:paraId="0362A5D9" w14:textId="4816F88B" w:rsidR="00DA3388" w:rsidRDefault="00DA3388" w:rsidP="00275177">
      <w:pPr>
        <w:jc w:val="both"/>
      </w:pPr>
    </w:p>
    <w:p w14:paraId="3449BA1F" w14:textId="5E14A704" w:rsidR="00DA3388" w:rsidRDefault="00221215" w:rsidP="00DA3388">
      <w:pPr>
        <w:jc w:val="both"/>
        <w:rPr>
          <w:rFonts w:eastAsia="Arial Unicode MS"/>
          <w:lang w:val="en-GB"/>
        </w:rPr>
      </w:pPr>
      <w:r>
        <w:t>For</w:t>
      </w:r>
      <w:r w:rsidR="00DA3388">
        <w:t xml:space="preserve"> the scope of </w:t>
      </w:r>
      <w:r>
        <w:t>work,</w:t>
      </w:r>
      <w:r w:rsidR="00DA3388">
        <w:t xml:space="preserve"> </w:t>
      </w:r>
      <w:r w:rsidR="000F3E91">
        <w:t>t</w:t>
      </w:r>
      <w:r w:rsidR="00DA3388" w:rsidRPr="000400E6">
        <w:t>he Auditor General, as the head of the OAGS, will be responsible for approving a</w:t>
      </w:r>
      <w:r w:rsidR="000F3E91">
        <w:t>nd issuing reports. I</w:t>
      </w:r>
      <w:r w:rsidR="00DA3388" w:rsidRPr="000400E6">
        <w:t>t is expected that the OAGS will take increasing responsibility for the DLIs/PBCs</w:t>
      </w:r>
      <w:r w:rsidR="000F3E91">
        <w:t xml:space="preserve"> verification with support of the</w:t>
      </w:r>
      <w:r w:rsidR="00DA3388" w:rsidRPr="000400E6">
        <w:t xml:space="preserve"> independent Technical Assistance (TA). In the interim, substantive DLI/PBC verification work will be performed by </w:t>
      </w:r>
      <w:r w:rsidR="000F3E91">
        <w:t>‘the</w:t>
      </w:r>
      <w:r w:rsidR="00DA3388" w:rsidRPr="000400E6">
        <w:t xml:space="preserve"> appointed TA in collaboration with and supervision of the OAGS. The verification of the eligible expenditures, DLIs and PBCs will be undertaken in strict adherence to the verification protocol as outlined in the Project Operations Manuals (POMs) for RCRF II and RCRF III.</w:t>
      </w:r>
    </w:p>
    <w:p w14:paraId="61555B32" w14:textId="77777777" w:rsidR="00CB5525" w:rsidRDefault="00CB5525" w:rsidP="00275177">
      <w:pPr>
        <w:jc w:val="both"/>
        <w:rPr>
          <w:rFonts w:eastAsia="Arial Unicode MS"/>
          <w:lang w:val="en-GB"/>
        </w:rPr>
      </w:pPr>
    </w:p>
    <w:p w14:paraId="4DEE2BFC" w14:textId="4683DF21" w:rsidR="00275177" w:rsidRPr="00955D8F" w:rsidRDefault="00E51059" w:rsidP="00275177">
      <w:pPr>
        <w:jc w:val="both"/>
        <w:rPr>
          <w:rFonts w:eastAsia="Calibri"/>
        </w:rPr>
      </w:pPr>
      <w:r w:rsidRPr="00E51059">
        <w:rPr>
          <w:rFonts w:eastAsia="Calibri"/>
        </w:rPr>
        <w:t>The</w:t>
      </w:r>
      <w:r w:rsidR="00955D8F">
        <w:t xml:space="preserve"> applicable standards, </w:t>
      </w:r>
      <w:r w:rsidR="000F3E91">
        <w:t>responsibilities</w:t>
      </w:r>
      <w:r w:rsidR="00955D8F">
        <w:t>,</w:t>
      </w:r>
      <w:r w:rsidR="000F3E91">
        <w:t xml:space="preserve"> </w:t>
      </w:r>
      <w:r w:rsidR="000F3E91" w:rsidRPr="009D76C4">
        <w:t>interfaces with</w:t>
      </w:r>
      <w:r w:rsidR="000F3E91">
        <w:t xml:space="preserve"> the Auditor General,</w:t>
      </w:r>
      <w:r w:rsidR="000F3E91" w:rsidRPr="009D76C4">
        <w:t xml:space="preserve"> the FMS-level OAGs</w:t>
      </w:r>
      <w:r w:rsidR="000F3E91">
        <w:t>,</w:t>
      </w:r>
      <w:r w:rsidRPr="00E51059">
        <w:t xml:space="preserve"> methodology and approach are</w:t>
      </w:r>
      <w:r w:rsidR="00275177" w:rsidRPr="00E51059">
        <w:t xml:space="preserve"> defined in the terms of reference</w:t>
      </w:r>
      <w:r w:rsidR="00E33DBA" w:rsidRPr="00E51059">
        <w:t xml:space="preserve"> (TOR)</w:t>
      </w:r>
      <w:r w:rsidRPr="00E51059">
        <w:t>.</w:t>
      </w:r>
      <w:r w:rsidR="00E33DBA" w:rsidRPr="00E51059">
        <w:t xml:space="preserve"> </w:t>
      </w:r>
      <w:r w:rsidR="00E33DBA" w:rsidRPr="00955D8F">
        <w:t xml:space="preserve">The </w:t>
      </w:r>
      <w:r w:rsidR="00955D8F">
        <w:rPr>
          <w:rFonts w:eastAsia="Calibri"/>
          <w:lang w:val="en-GB"/>
        </w:rPr>
        <w:t xml:space="preserve">TOR for the assignment can be found at the following website: </w:t>
      </w:r>
      <w:hyperlink r:id="rId8" w:history="1">
        <w:r w:rsidR="00831427" w:rsidRPr="001A0608">
          <w:rPr>
            <w:rStyle w:val="Hyperlink"/>
            <w:rFonts w:eastAsia="Calibri"/>
            <w:lang w:val="en-GB"/>
          </w:rPr>
          <w:t>https://oag.gov.so</w:t>
        </w:r>
      </w:hyperlink>
      <w:r w:rsidR="00955D8F">
        <w:rPr>
          <w:rFonts w:eastAsia="Calibri"/>
          <w:lang w:val="en-GB"/>
        </w:rPr>
        <w:t xml:space="preserve"> or it can be provided upon submission of application in person or by e-mail. The e-mail address is provided below</w:t>
      </w:r>
      <w:r w:rsidR="00E33DBA" w:rsidRPr="00955D8F">
        <w:t>.</w:t>
      </w:r>
    </w:p>
    <w:p w14:paraId="643AD678" w14:textId="5D7BDC56" w:rsidR="00FE3597" w:rsidRDefault="00FE3597" w:rsidP="00FE3597">
      <w:pPr>
        <w:jc w:val="both"/>
      </w:pPr>
    </w:p>
    <w:p w14:paraId="582E6835" w14:textId="4F3540DD" w:rsidR="000F3E91" w:rsidRDefault="00837269" w:rsidP="00221215">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jc w:val="both"/>
      </w:pPr>
      <w:r w:rsidRPr="00221215">
        <w:rPr>
          <w:rFonts w:eastAsia="MS Mincho"/>
        </w:rPr>
        <w:t xml:space="preserve">The </w:t>
      </w:r>
      <w:r w:rsidR="000F3E91" w:rsidRPr="00221215">
        <w:rPr>
          <w:rFonts w:eastAsia="MS Mincho"/>
        </w:rPr>
        <w:t xml:space="preserve">estimated level of effort </w:t>
      </w:r>
      <w:r w:rsidR="001C777F" w:rsidRPr="00221215">
        <w:rPr>
          <w:rFonts w:eastAsia="MS Mincho"/>
        </w:rPr>
        <w:t xml:space="preserve">for the </w:t>
      </w:r>
      <w:r w:rsidR="00664FF1" w:rsidRPr="00221215">
        <w:rPr>
          <w:rFonts w:eastAsia="MS Mincho"/>
        </w:rPr>
        <w:t>assignment is 60 work</w:t>
      </w:r>
      <w:r w:rsidR="001C777F" w:rsidRPr="00221215">
        <w:rPr>
          <w:rFonts w:eastAsia="MS Mincho"/>
        </w:rPr>
        <w:t>-days and</w:t>
      </w:r>
      <w:r w:rsidRPr="00221215">
        <w:rPr>
          <w:rFonts w:eastAsia="MS Mincho"/>
        </w:rPr>
        <w:t xml:space="preserve"> </w:t>
      </w:r>
      <w:r w:rsidR="00221215">
        <w:rPr>
          <w:rFonts w:eastAsia="MS Mincho"/>
        </w:rPr>
        <w:t>would</w:t>
      </w:r>
      <w:r w:rsidRPr="00221215">
        <w:rPr>
          <w:rFonts w:eastAsia="MS Mincho"/>
        </w:rPr>
        <w:t xml:space="preserve"> be conducted </w:t>
      </w:r>
      <w:r w:rsidR="000F3E91" w:rsidRPr="00221215">
        <w:rPr>
          <w:rFonts w:eastAsia="MS Mincho"/>
        </w:rPr>
        <w:t>in two cy</w:t>
      </w:r>
      <w:r w:rsidR="001C777F" w:rsidRPr="00221215">
        <w:rPr>
          <w:rFonts w:eastAsia="MS Mincho"/>
        </w:rPr>
        <w:t>cles: one in 2022 and one in 20</w:t>
      </w:r>
      <w:r w:rsidR="000F3E91" w:rsidRPr="00221215">
        <w:rPr>
          <w:rFonts w:eastAsia="MS Mincho"/>
        </w:rPr>
        <w:t xml:space="preserve">23 </w:t>
      </w:r>
      <w:r w:rsidRPr="00221215">
        <w:rPr>
          <w:rFonts w:eastAsia="MS Mincho"/>
        </w:rPr>
        <w:t xml:space="preserve">and reports delivered </w:t>
      </w:r>
      <w:r w:rsidR="00DA3388" w:rsidRPr="00221215">
        <w:rPr>
          <w:rFonts w:eastAsia="MS Mincho"/>
        </w:rPr>
        <w:t>through to 31</w:t>
      </w:r>
      <w:r w:rsidR="00DA3388" w:rsidRPr="00221215">
        <w:rPr>
          <w:rFonts w:eastAsia="MS Mincho"/>
          <w:vertAlign w:val="superscript"/>
        </w:rPr>
        <w:t>st</w:t>
      </w:r>
      <w:r w:rsidR="00DA3388" w:rsidRPr="00221215">
        <w:rPr>
          <w:rFonts w:eastAsia="MS Mincho"/>
        </w:rPr>
        <w:t xml:space="preserve"> March</w:t>
      </w:r>
      <w:r w:rsidR="000F3E91" w:rsidRPr="00221215">
        <w:rPr>
          <w:rFonts w:eastAsia="MS Mincho"/>
        </w:rPr>
        <w:t xml:space="preserve">, 2023 </w:t>
      </w:r>
      <w:r w:rsidRPr="00221215">
        <w:rPr>
          <w:rFonts w:eastAsia="MS Mincho"/>
        </w:rPr>
        <w:t>from the commencement</w:t>
      </w:r>
      <w:r w:rsidRPr="00221215">
        <w:t xml:space="preserve"> date.</w:t>
      </w:r>
    </w:p>
    <w:p w14:paraId="3B8AF3F1" w14:textId="1114708C" w:rsidR="00275177" w:rsidRDefault="00587818" w:rsidP="00F82376">
      <w:pPr>
        <w:jc w:val="both"/>
      </w:pPr>
      <w:r>
        <w:t xml:space="preserve">The </w:t>
      </w:r>
      <w:r w:rsidR="00C44432">
        <w:t>M</w:t>
      </w:r>
      <w:r>
        <w:t xml:space="preserve">inistry </w:t>
      </w:r>
      <w:r w:rsidR="00C44432">
        <w:t>o</w:t>
      </w:r>
      <w:r>
        <w:t xml:space="preserve">f </w:t>
      </w:r>
      <w:r w:rsidR="00C44432">
        <w:t>F</w:t>
      </w:r>
      <w:r>
        <w:t>inance</w:t>
      </w:r>
      <w:r w:rsidR="00275177" w:rsidRPr="00275177">
        <w:t xml:space="preserve"> now invites eligible consulting firms (“Consultant</w:t>
      </w:r>
      <w:r>
        <w:t>s</w:t>
      </w:r>
      <w:r w:rsidR="00275177" w:rsidRPr="00275177">
        <w:t>”) to indicate their interest in providing the Services. Interested Consultants should provide information demonstrating that they have the required qualifications and relevant experience to perform the Services. The short listing criteria are as follows:</w:t>
      </w:r>
    </w:p>
    <w:p w14:paraId="031FAE65" w14:textId="77777777" w:rsidR="000F2BCF" w:rsidRPr="00275177" w:rsidRDefault="000F2BCF" w:rsidP="00275177">
      <w:pPr>
        <w:spacing w:line="276" w:lineRule="auto"/>
        <w:jc w:val="both"/>
      </w:pPr>
    </w:p>
    <w:p w14:paraId="49DDAB84" w14:textId="27D24886" w:rsidR="00587818" w:rsidRPr="000557D1" w:rsidRDefault="00587818" w:rsidP="00F82376">
      <w:pPr>
        <w:numPr>
          <w:ilvl w:val="0"/>
          <w:numId w:val="17"/>
        </w:numPr>
        <w:spacing w:after="160"/>
        <w:jc w:val="both"/>
        <w:rPr>
          <w:rFonts w:eastAsia="MS Mincho"/>
          <w:sz w:val="22"/>
          <w:szCs w:val="22"/>
        </w:rPr>
      </w:pPr>
      <w:r w:rsidRPr="000557D1">
        <w:rPr>
          <w:rFonts w:eastAsia="MS Mincho"/>
          <w:sz w:val="22"/>
          <w:szCs w:val="22"/>
        </w:rPr>
        <w:t>Core business of the firm and years in business (not less than</w:t>
      </w:r>
      <w:r w:rsidR="001C777F">
        <w:t xml:space="preserve"> 10 years’ experience in </w:t>
      </w:r>
      <w:r w:rsidR="00221215">
        <w:t>accounting</w:t>
      </w:r>
      <w:r w:rsidR="001C777F">
        <w:t xml:space="preserve"> </w:t>
      </w:r>
      <w:r w:rsidR="00664FF1">
        <w:t xml:space="preserve">and </w:t>
      </w:r>
      <w:r w:rsidR="000557D1" w:rsidRPr="000557D1">
        <w:rPr>
          <w:rFonts w:eastAsia="Calibri"/>
          <w:lang w:val="en-GB"/>
        </w:rPr>
        <w:t>auditing</w:t>
      </w:r>
      <w:r w:rsidR="001C777F">
        <w:rPr>
          <w:rFonts w:eastAsia="Calibri"/>
          <w:lang w:val="en-GB"/>
        </w:rPr>
        <w:t xml:space="preserve"> </w:t>
      </w:r>
      <w:r w:rsidR="000557D1" w:rsidRPr="000557D1">
        <w:rPr>
          <w:rFonts w:eastAsia="Calibri"/>
          <w:lang w:val="en-GB"/>
        </w:rPr>
        <w:t>in the public and/or private sector</w:t>
      </w:r>
      <w:r w:rsidRPr="000557D1">
        <w:t>).</w:t>
      </w:r>
    </w:p>
    <w:p w14:paraId="5809C357" w14:textId="152F9A72" w:rsidR="00587818" w:rsidRPr="00C447FF" w:rsidRDefault="00587818" w:rsidP="00F82376">
      <w:pPr>
        <w:numPr>
          <w:ilvl w:val="0"/>
          <w:numId w:val="17"/>
        </w:numPr>
        <w:spacing w:after="160"/>
        <w:jc w:val="both"/>
        <w:rPr>
          <w:rFonts w:eastAsia="MS Mincho"/>
          <w:sz w:val="22"/>
          <w:szCs w:val="22"/>
        </w:rPr>
      </w:pPr>
      <w:r>
        <w:rPr>
          <w:rFonts w:eastAsia="MS Mincho"/>
          <w:sz w:val="22"/>
          <w:szCs w:val="22"/>
        </w:rPr>
        <w:t>E</w:t>
      </w:r>
      <w:r w:rsidRPr="00C447FF">
        <w:rPr>
          <w:rFonts w:eastAsia="MS Mincho"/>
          <w:sz w:val="22"/>
          <w:szCs w:val="22"/>
        </w:rPr>
        <w:t>xperience</w:t>
      </w:r>
      <w:r>
        <w:rPr>
          <w:rFonts w:eastAsia="MS Mincho"/>
          <w:sz w:val="22"/>
          <w:szCs w:val="22"/>
        </w:rPr>
        <w:t xml:space="preserve"> of similar</w:t>
      </w:r>
      <w:r w:rsidRPr="00C447FF">
        <w:rPr>
          <w:rFonts w:eastAsia="MS Mincho"/>
          <w:sz w:val="22"/>
          <w:szCs w:val="22"/>
        </w:rPr>
        <w:t xml:space="preserve"> assignments on public sector </w:t>
      </w:r>
      <w:r w:rsidR="00664FF1">
        <w:rPr>
          <w:rFonts w:eastAsia="MS Mincho"/>
          <w:sz w:val="22"/>
          <w:szCs w:val="22"/>
        </w:rPr>
        <w:t>financial audits; independent verification of expenditure programs</w:t>
      </w:r>
      <w:r w:rsidRPr="00C447FF">
        <w:rPr>
          <w:rFonts w:eastAsia="MS Mincho"/>
          <w:sz w:val="22"/>
          <w:szCs w:val="22"/>
        </w:rPr>
        <w:t>;</w:t>
      </w:r>
      <w:r>
        <w:rPr>
          <w:rFonts w:eastAsia="MS Mincho"/>
          <w:sz w:val="22"/>
          <w:szCs w:val="22"/>
        </w:rPr>
        <w:t xml:space="preserve"> </w:t>
      </w:r>
      <w:r w:rsidR="00241AAC">
        <w:rPr>
          <w:rFonts w:eastAsia="MS Mincho"/>
          <w:sz w:val="22"/>
          <w:szCs w:val="22"/>
        </w:rPr>
        <w:t>a</w:t>
      </w:r>
      <w:r w:rsidR="003E2FC9">
        <w:rPr>
          <w:rFonts w:eastAsia="MS Mincho"/>
          <w:sz w:val="22"/>
          <w:szCs w:val="22"/>
        </w:rPr>
        <w:t xml:space="preserve">nd familiarity </w:t>
      </w:r>
      <w:r w:rsidR="003E2FC9" w:rsidRPr="003E2FC9">
        <w:rPr>
          <w:rFonts w:eastAsia="Arial Unicode MS"/>
          <w:lang w:val="en-GB"/>
        </w:rPr>
        <w:t>with the requirements of the International Standards of Supreme Audit Institutions (ISSAIs</w:t>
      </w:r>
      <w:r w:rsidR="009E2255" w:rsidRPr="003E2FC9">
        <w:rPr>
          <w:rFonts w:eastAsia="Arial Unicode MS"/>
          <w:lang w:val="en-GB"/>
        </w:rPr>
        <w:t>).</w:t>
      </w:r>
      <w:r w:rsidR="009E2255" w:rsidRPr="003E2FC9">
        <w:rPr>
          <w:rFonts w:ascii="Arial" w:eastAsia="Arial Unicode MS" w:hAnsi="Arial" w:cs="Arial"/>
          <w:lang w:val="en-GB"/>
        </w:rPr>
        <w:t xml:space="preserve"> </w:t>
      </w:r>
      <w:r w:rsidR="009E2255">
        <w:rPr>
          <w:rFonts w:eastAsia="MS Mincho"/>
          <w:sz w:val="22"/>
          <w:szCs w:val="22"/>
        </w:rPr>
        <w:t xml:space="preserve"> </w:t>
      </w:r>
    </w:p>
    <w:p w14:paraId="0997B906" w14:textId="77777777" w:rsidR="00587818" w:rsidRPr="00C447FF" w:rsidRDefault="00587818" w:rsidP="00587818">
      <w:pPr>
        <w:numPr>
          <w:ilvl w:val="0"/>
          <w:numId w:val="17"/>
        </w:numPr>
        <w:spacing w:after="160" w:line="259" w:lineRule="auto"/>
        <w:jc w:val="both"/>
        <w:rPr>
          <w:rFonts w:eastAsia="MS Mincho"/>
          <w:color w:val="333333"/>
          <w:sz w:val="22"/>
          <w:szCs w:val="22"/>
        </w:rPr>
      </w:pPr>
      <w:r w:rsidRPr="00C447FF">
        <w:rPr>
          <w:rFonts w:eastAsia="MS Mincho"/>
          <w:color w:val="333333"/>
          <w:sz w:val="22"/>
          <w:szCs w:val="22"/>
        </w:rPr>
        <w:t xml:space="preserve">Experience of </w:t>
      </w:r>
      <w:r>
        <w:rPr>
          <w:rFonts w:eastAsia="MS Mincho"/>
          <w:color w:val="333333"/>
          <w:sz w:val="22"/>
          <w:szCs w:val="22"/>
        </w:rPr>
        <w:t>having worked</w:t>
      </w:r>
      <w:r w:rsidRPr="00C447FF">
        <w:rPr>
          <w:rFonts w:eastAsia="MS Mincho"/>
          <w:color w:val="333333"/>
          <w:sz w:val="22"/>
          <w:szCs w:val="22"/>
        </w:rPr>
        <w:t xml:space="preserve"> in an environmen</w:t>
      </w:r>
      <w:r w:rsidRPr="00CF2081">
        <w:rPr>
          <w:rFonts w:eastAsia="MS Mincho"/>
          <w:color w:val="333333"/>
          <w:sz w:val="22"/>
          <w:szCs w:val="22"/>
        </w:rPr>
        <w:t>t similar to that of Somalia</w:t>
      </w:r>
      <w:r w:rsidRPr="00C447FF">
        <w:rPr>
          <w:rFonts w:eastAsia="MS Mincho"/>
          <w:color w:val="333333"/>
          <w:sz w:val="22"/>
          <w:szCs w:val="22"/>
        </w:rPr>
        <w:t>; and</w:t>
      </w:r>
    </w:p>
    <w:p w14:paraId="1CA1DB8C" w14:textId="77777777" w:rsidR="00587818" w:rsidRPr="00B0005F" w:rsidRDefault="00587818" w:rsidP="00F82376">
      <w:pPr>
        <w:numPr>
          <w:ilvl w:val="0"/>
          <w:numId w:val="17"/>
        </w:numPr>
        <w:spacing w:after="160"/>
        <w:jc w:val="both"/>
        <w:rPr>
          <w:rFonts w:eastAsia="Arial Unicode MS"/>
          <w:color w:val="000000"/>
          <w:sz w:val="22"/>
          <w:szCs w:val="22"/>
        </w:rPr>
      </w:pPr>
      <w:r>
        <w:rPr>
          <w:rFonts w:eastAsia="Arial Unicode MS"/>
          <w:color w:val="333333"/>
          <w:sz w:val="22"/>
          <w:szCs w:val="22"/>
          <w:lang w:val="en"/>
        </w:rPr>
        <w:t>T</w:t>
      </w:r>
      <w:r w:rsidRPr="00C447FF">
        <w:rPr>
          <w:rFonts w:eastAsia="Arial Unicode MS"/>
          <w:color w:val="333333"/>
          <w:sz w:val="22"/>
          <w:szCs w:val="22"/>
          <w:lang w:val="en"/>
        </w:rPr>
        <w:t xml:space="preserve">echnical and managerial </w:t>
      </w:r>
      <w:r>
        <w:rPr>
          <w:rFonts w:eastAsia="Arial Unicode MS"/>
          <w:color w:val="333333"/>
          <w:sz w:val="22"/>
          <w:szCs w:val="22"/>
          <w:lang w:val="en"/>
        </w:rPr>
        <w:t xml:space="preserve">capability </w:t>
      </w:r>
      <w:r w:rsidRPr="00C447FF">
        <w:rPr>
          <w:rFonts w:eastAsia="Arial Unicode MS"/>
          <w:color w:val="333333"/>
          <w:sz w:val="22"/>
          <w:szCs w:val="22"/>
          <w:lang w:val="en"/>
        </w:rPr>
        <w:t>of the firm. (Provide only the structure of the organization, general qualifications and number of key staff. Do not provide CV of staff</w:t>
      </w:r>
      <w:r>
        <w:rPr>
          <w:rFonts w:eastAsia="Arial Unicode MS"/>
          <w:color w:val="333333"/>
          <w:sz w:val="22"/>
          <w:szCs w:val="22"/>
          <w:lang w:val="en"/>
        </w:rPr>
        <w:t xml:space="preserve">). Key experts will not be evaluated at the shortlisting stage. </w:t>
      </w:r>
    </w:p>
    <w:p w14:paraId="07D1D591" w14:textId="143AFF7F" w:rsidR="002D2B75" w:rsidRPr="00CC78C9" w:rsidRDefault="002D2B75" w:rsidP="00F82376">
      <w:pPr>
        <w:jc w:val="both"/>
      </w:pPr>
      <w:r>
        <w:t xml:space="preserve">Attention of interested Consultants is drawn to paragraphs 3.14, 3.16 and 3.17 of the World Bank’s Procurement Regulations for IPF Borrowers: </w:t>
      </w:r>
      <w:r w:rsidRPr="00CC78C9">
        <w:rPr>
          <w:i/>
        </w:rPr>
        <w:t>Procurement in Investment Financing</w:t>
      </w:r>
      <w:r w:rsidR="003C3547" w:rsidRPr="00CC78C9">
        <w:rPr>
          <w:i/>
        </w:rPr>
        <w:t xml:space="preserve"> -</w:t>
      </w:r>
      <w:r w:rsidRPr="00CC78C9">
        <w:rPr>
          <w:i/>
        </w:rPr>
        <w:t xml:space="preserve"> Goods, Works, Non-Consulting and Consulting Services </w:t>
      </w:r>
      <w:r w:rsidRPr="00CC78C9">
        <w:t>dated July 2016 and</w:t>
      </w:r>
      <w:r w:rsidR="00CC78C9" w:rsidRPr="00CC78C9">
        <w:t xml:space="preserve"> the latest edition</w:t>
      </w:r>
      <w:r w:rsidR="00CC78C9">
        <w:t xml:space="preserve"> (“The Regulations”)</w:t>
      </w:r>
      <w:r w:rsidR="00CC78C9" w:rsidRPr="00CC78C9">
        <w:t xml:space="preserve">, </w:t>
      </w:r>
      <w:r w:rsidRPr="00CC78C9">
        <w:t xml:space="preserve">setting forth the World Bank’s policy on conflict of interest. </w:t>
      </w:r>
    </w:p>
    <w:p w14:paraId="1114E527" w14:textId="77777777" w:rsidR="002D2B75" w:rsidRDefault="002D2B75" w:rsidP="002D2B75">
      <w:pPr>
        <w:spacing w:line="276" w:lineRule="auto"/>
        <w:jc w:val="both"/>
      </w:pPr>
    </w:p>
    <w:p w14:paraId="6F72E6F4" w14:textId="6BCD136D" w:rsidR="00492A5A" w:rsidRPr="00CC78C9" w:rsidRDefault="00492A5A" w:rsidP="00F82376">
      <w:pPr>
        <w:jc w:val="both"/>
      </w:pPr>
      <w:r>
        <w:t xml:space="preserve">A Consultant will be selected in accordance with the </w:t>
      </w:r>
      <w:r>
        <w:rPr>
          <w:b/>
          <w:color w:val="333333"/>
        </w:rPr>
        <w:t>Least Cost Selection (LC</w:t>
      </w:r>
      <w:r w:rsidRPr="00FF2177">
        <w:rPr>
          <w:b/>
          <w:color w:val="333333"/>
        </w:rPr>
        <w:t>S</w:t>
      </w:r>
      <w:r>
        <w:rPr>
          <w:color w:val="333333"/>
        </w:rPr>
        <w:t>) method set out in the</w:t>
      </w:r>
      <w:r>
        <w:t xml:space="preserve"> Procurement Regulations. </w:t>
      </w:r>
      <w:r w:rsidRPr="00275177">
        <w:rPr>
          <w:color w:val="333333"/>
        </w:rPr>
        <w:t>Interested Consultant</w:t>
      </w:r>
      <w:r w:rsidR="00CC78C9">
        <w:rPr>
          <w:color w:val="333333"/>
        </w:rPr>
        <w:t>s</w:t>
      </w:r>
      <w:r w:rsidRPr="00275177">
        <w:rPr>
          <w:color w:val="333333"/>
        </w:rPr>
        <w:t xml:space="preserve"> may obtain further information at the </w:t>
      </w:r>
      <w:r w:rsidRPr="00275177">
        <w:rPr>
          <w:color w:val="333333"/>
        </w:rPr>
        <w:lastRenderedPageBreak/>
        <w:t xml:space="preserve">address below during office hours from </w:t>
      </w:r>
      <w:r w:rsidRPr="00504692">
        <w:rPr>
          <w:color w:val="000000" w:themeColor="text1"/>
        </w:rPr>
        <w:t>8:30</w:t>
      </w:r>
      <w:r>
        <w:rPr>
          <w:color w:val="000000" w:themeColor="text1"/>
        </w:rPr>
        <w:t>am</w:t>
      </w:r>
      <w:r w:rsidRPr="00504692">
        <w:rPr>
          <w:color w:val="000000" w:themeColor="text1"/>
        </w:rPr>
        <w:t xml:space="preserve"> to 3.30pm Mogadishu time</w:t>
      </w:r>
      <w:r w:rsidR="00CC78C9">
        <w:rPr>
          <w:color w:val="000000" w:themeColor="text1"/>
        </w:rPr>
        <w:t xml:space="preserve"> (e</w:t>
      </w:r>
      <w:r>
        <w:rPr>
          <w:color w:val="000000" w:themeColor="text1"/>
        </w:rPr>
        <w:t>xcluding public holidays)</w:t>
      </w:r>
      <w:r w:rsidRPr="00504692">
        <w:rPr>
          <w:color w:val="000000" w:themeColor="text1"/>
        </w:rPr>
        <w:t>.</w:t>
      </w:r>
      <w:r w:rsidRPr="00504692">
        <w:rPr>
          <w:rFonts w:eastAsiaTheme="minorEastAsia"/>
          <w:spacing w:val="-2"/>
          <w:lang w:eastAsia="ja-JP"/>
        </w:rPr>
        <w:t xml:space="preserve"> </w:t>
      </w:r>
    </w:p>
    <w:p w14:paraId="26131D92" w14:textId="77777777" w:rsidR="00492A5A" w:rsidRDefault="00492A5A" w:rsidP="00492A5A">
      <w:pPr>
        <w:suppressAutoHyphens/>
        <w:jc w:val="both"/>
        <w:rPr>
          <w:rFonts w:eastAsiaTheme="minorEastAsia"/>
          <w:spacing w:val="-2"/>
          <w:lang w:eastAsia="ja-JP"/>
        </w:rPr>
      </w:pPr>
    </w:p>
    <w:p w14:paraId="4662387D" w14:textId="3B3A66EF" w:rsidR="00492A5A" w:rsidRPr="00504692" w:rsidRDefault="00492A5A" w:rsidP="00492A5A">
      <w:pPr>
        <w:suppressAutoHyphens/>
        <w:jc w:val="both"/>
        <w:rPr>
          <w:rFonts w:eastAsiaTheme="minorEastAsia"/>
          <w:spacing w:val="-2"/>
          <w:lang w:eastAsia="ja-JP"/>
        </w:rPr>
      </w:pPr>
      <w:r w:rsidRPr="00504692">
        <w:rPr>
          <w:rFonts w:eastAsiaTheme="minorEastAsia"/>
          <w:spacing w:val="-2"/>
          <w:lang w:eastAsia="ja-JP"/>
        </w:rPr>
        <w:t xml:space="preserve">Expressions of </w:t>
      </w:r>
      <w:r w:rsidRPr="00504692">
        <w:t xml:space="preserve">interest (EOI) </w:t>
      </w:r>
      <w:r>
        <w:t>should</w:t>
      </w:r>
      <w:r w:rsidRPr="00504692">
        <w:rPr>
          <w:rFonts w:eastAsiaTheme="minorEastAsia"/>
          <w:spacing w:val="-2"/>
          <w:lang w:eastAsia="ja-JP"/>
        </w:rPr>
        <w:t xml:space="preserve"> be delivered (in person or by e-mail) in a written form to the address below</w:t>
      </w:r>
      <w:r>
        <w:rPr>
          <w:color w:val="000000" w:themeColor="text1"/>
        </w:rPr>
        <w:t xml:space="preserve"> </w:t>
      </w:r>
      <w:r w:rsidRPr="000557D1">
        <w:rPr>
          <w:color w:val="000000" w:themeColor="text1"/>
        </w:rPr>
        <w:t xml:space="preserve">by </w:t>
      </w:r>
      <w:r w:rsidR="00664FF1">
        <w:rPr>
          <w:b/>
          <w:color w:val="000000" w:themeColor="text1"/>
        </w:rPr>
        <w:t>25</w:t>
      </w:r>
      <w:r w:rsidR="00664FF1" w:rsidRPr="00664FF1">
        <w:rPr>
          <w:b/>
          <w:color w:val="000000" w:themeColor="text1"/>
          <w:vertAlign w:val="superscript"/>
        </w:rPr>
        <w:t>th</w:t>
      </w:r>
      <w:r w:rsidR="00664FF1">
        <w:rPr>
          <w:b/>
          <w:color w:val="000000" w:themeColor="text1"/>
        </w:rPr>
        <w:t xml:space="preserve"> May 2022</w:t>
      </w:r>
      <w:r w:rsidRPr="00072F11">
        <w:rPr>
          <w:b/>
          <w:color w:val="000000" w:themeColor="text1"/>
        </w:rPr>
        <w:t xml:space="preserve"> at 12:00 Hours (Mogadishu Time)</w:t>
      </w:r>
      <w:r w:rsidR="00664FF1">
        <w:rPr>
          <w:b/>
          <w:color w:val="000000" w:themeColor="text1"/>
        </w:rPr>
        <w:t>.</w:t>
      </w:r>
    </w:p>
    <w:p w14:paraId="411DF411" w14:textId="77777777" w:rsidR="00492A5A" w:rsidRPr="001A21E3" w:rsidRDefault="00492A5A" w:rsidP="00492A5A">
      <w:pPr>
        <w:suppressAutoHyphens/>
        <w:jc w:val="both"/>
        <w:rPr>
          <w:rFonts w:eastAsiaTheme="minorEastAsia"/>
          <w:spacing w:val="-2"/>
          <w:szCs w:val="22"/>
          <w:lang w:eastAsia="ja-JP"/>
        </w:rPr>
      </w:pPr>
    </w:p>
    <w:p w14:paraId="35291627" w14:textId="451A189D" w:rsidR="00492A5A" w:rsidRDefault="00664FF1" w:rsidP="00492A5A">
      <w:pPr>
        <w:suppressAutoHyphens/>
        <w:jc w:val="both"/>
        <w:rPr>
          <w:rFonts w:eastAsiaTheme="minorEastAsia"/>
          <w:spacing w:val="-2"/>
          <w:szCs w:val="22"/>
          <w:lang w:eastAsia="ja-JP"/>
        </w:rPr>
      </w:pPr>
      <w:r>
        <w:rPr>
          <w:rFonts w:eastAsiaTheme="minorEastAsia"/>
          <w:spacing w:val="-2"/>
          <w:szCs w:val="22"/>
          <w:lang w:eastAsia="ja-JP"/>
        </w:rPr>
        <w:t>RCRF Project Implementation</w:t>
      </w:r>
      <w:r w:rsidR="00492A5A">
        <w:rPr>
          <w:rFonts w:eastAsiaTheme="minorEastAsia"/>
          <w:spacing w:val="-2"/>
          <w:szCs w:val="22"/>
          <w:lang w:eastAsia="ja-JP"/>
        </w:rPr>
        <w:t xml:space="preserve"> Unit, </w:t>
      </w:r>
    </w:p>
    <w:p w14:paraId="0443B82E" w14:textId="77777777" w:rsidR="00492A5A" w:rsidRPr="001A21E3" w:rsidRDefault="00492A5A" w:rsidP="00492A5A">
      <w:pPr>
        <w:suppressAutoHyphens/>
        <w:jc w:val="both"/>
        <w:rPr>
          <w:rFonts w:eastAsiaTheme="minorEastAsia"/>
          <w:spacing w:val="-2"/>
          <w:szCs w:val="22"/>
          <w:lang w:eastAsia="ja-JP"/>
        </w:rPr>
      </w:pPr>
      <w:r w:rsidRPr="001A21E3">
        <w:rPr>
          <w:rFonts w:eastAsiaTheme="minorEastAsia"/>
          <w:spacing w:val="-2"/>
          <w:szCs w:val="22"/>
          <w:lang w:eastAsia="ja-JP"/>
        </w:rPr>
        <w:t>Ministry of Finance, Mogadishu</w:t>
      </w:r>
    </w:p>
    <w:p w14:paraId="34FD604E" w14:textId="77777777" w:rsidR="00492A5A" w:rsidRPr="001A21E3" w:rsidRDefault="00492A5A" w:rsidP="00492A5A">
      <w:pPr>
        <w:suppressAutoHyphens/>
        <w:jc w:val="both"/>
        <w:rPr>
          <w:rFonts w:eastAsiaTheme="minorEastAsia"/>
          <w:spacing w:val="-2"/>
          <w:szCs w:val="22"/>
          <w:lang w:eastAsia="ja-JP"/>
        </w:rPr>
      </w:pPr>
      <w:r w:rsidRPr="001A21E3">
        <w:rPr>
          <w:rFonts w:eastAsiaTheme="minorEastAsia"/>
          <w:spacing w:val="-2"/>
          <w:szCs w:val="22"/>
          <w:lang w:eastAsia="ja-JP"/>
        </w:rPr>
        <w:t>Federal Republic of Somalia</w:t>
      </w:r>
    </w:p>
    <w:p w14:paraId="360DBEC2" w14:textId="01F364B3" w:rsidR="000F2BCF" w:rsidRDefault="009E2255" w:rsidP="000F2BCF">
      <w:pPr>
        <w:suppressAutoHyphens/>
        <w:jc w:val="both"/>
        <w:rPr>
          <w:rStyle w:val="Hyperlink"/>
          <w:rFonts w:eastAsiaTheme="minorEastAsia"/>
          <w:spacing w:val="-2"/>
          <w:szCs w:val="22"/>
          <w:lang w:eastAsia="ja-JP"/>
        </w:rPr>
      </w:pPr>
      <w:r>
        <w:rPr>
          <w:rFonts w:eastAsiaTheme="minorEastAsia"/>
          <w:spacing w:val="-2"/>
          <w:szCs w:val="22"/>
          <w:lang w:eastAsia="ja-JP"/>
        </w:rPr>
        <w:t xml:space="preserve">Email: </w:t>
      </w:r>
      <w:hyperlink r:id="rId9" w:history="1">
        <w:r w:rsidR="00831427" w:rsidRPr="001A0608">
          <w:rPr>
            <w:rStyle w:val="Hyperlink"/>
            <w:rFonts w:eastAsiaTheme="minorEastAsia"/>
            <w:spacing w:val="-2"/>
            <w:szCs w:val="22"/>
            <w:lang w:eastAsia="ja-JP"/>
          </w:rPr>
          <w:t>procurement@oag.gov.so</w:t>
        </w:r>
      </w:hyperlink>
      <w:r>
        <w:rPr>
          <w:rFonts w:eastAsiaTheme="minorEastAsia"/>
          <w:spacing w:val="-2"/>
          <w:szCs w:val="22"/>
          <w:lang w:eastAsia="ja-JP"/>
        </w:rPr>
        <w:t xml:space="preserve"> </w:t>
      </w:r>
      <w:r w:rsidR="00492A5A">
        <w:rPr>
          <w:rFonts w:eastAsiaTheme="minorEastAsia"/>
          <w:spacing w:val="-2"/>
          <w:szCs w:val="22"/>
          <w:lang w:eastAsia="ja-JP"/>
        </w:rPr>
        <w:t xml:space="preserve">and </w:t>
      </w:r>
      <w:r w:rsidR="001622CC">
        <w:rPr>
          <w:rFonts w:eastAsiaTheme="minorEastAsia"/>
          <w:spacing w:val="-2"/>
          <w:szCs w:val="22"/>
          <w:lang w:eastAsia="ja-JP"/>
        </w:rPr>
        <w:t>copy and</w:t>
      </w:r>
      <w:r w:rsidR="00831427">
        <w:rPr>
          <w:rFonts w:eastAsiaTheme="minorEastAsia"/>
          <w:spacing w:val="-2"/>
          <w:szCs w:val="22"/>
          <w:lang w:eastAsia="ja-JP"/>
        </w:rPr>
        <w:t xml:space="preserve"> </w:t>
      </w:r>
      <w:r w:rsidR="00492A5A">
        <w:rPr>
          <w:rFonts w:eastAsiaTheme="minorEastAsia"/>
          <w:spacing w:val="-2"/>
          <w:szCs w:val="22"/>
          <w:lang w:eastAsia="ja-JP"/>
        </w:rPr>
        <w:t xml:space="preserve"> </w:t>
      </w:r>
      <w:hyperlink r:id="rId10" w:history="1">
        <w:r w:rsidR="00664FF1" w:rsidRPr="00F068AF">
          <w:rPr>
            <w:rStyle w:val="Hyperlink"/>
            <w:rFonts w:eastAsiaTheme="minorEastAsia"/>
            <w:spacing w:val="-2"/>
            <w:szCs w:val="22"/>
            <w:lang w:eastAsia="ja-JP"/>
          </w:rPr>
          <w:t>rcrfrecruitment@mof.gov.so</w:t>
        </w:r>
      </w:hyperlink>
      <w:r w:rsidR="00831427">
        <w:rPr>
          <w:rStyle w:val="Hyperlink"/>
          <w:rFonts w:eastAsiaTheme="minorEastAsia"/>
          <w:spacing w:val="-2"/>
          <w:szCs w:val="22"/>
          <w:lang w:eastAsia="ja-JP"/>
        </w:rPr>
        <w:t xml:space="preserve"> </w:t>
      </w:r>
    </w:p>
    <w:p w14:paraId="4673B74C" w14:textId="715965DF" w:rsidR="00831427" w:rsidRPr="009E2255" w:rsidRDefault="00831427" w:rsidP="000F2BCF">
      <w:pPr>
        <w:suppressAutoHyphens/>
        <w:jc w:val="both"/>
        <w:rPr>
          <w:rFonts w:eastAsiaTheme="minorEastAsia"/>
          <w:spacing w:val="-2"/>
          <w:szCs w:val="22"/>
          <w:lang w:eastAsia="ja-JP"/>
        </w:rPr>
      </w:pPr>
      <w:r>
        <w:rPr>
          <w:rFonts w:eastAsiaTheme="minorEastAsia"/>
          <w:spacing w:val="-2"/>
          <w:szCs w:val="22"/>
          <w:lang w:eastAsia="ja-JP"/>
        </w:rPr>
        <w:t xml:space="preserve">and </w:t>
      </w:r>
      <w:hyperlink r:id="rId11" w:history="1">
        <w:r w:rsidRPr="001A0608">
          <w:rPr>
            <w:rStyle w:val="Hyperlink"/>
            <w:rFonts w:eastAsiaTheme="minorEastAsia"/>
            <w:spacing w:val="-2"/>
            <w:szCs w:val="22"/>
            <w:lang w:eastAsia="ja-JP"/>
          </w:rPr>
          <w:t>oag@oag.gov.so</w:t>
        </w:r>
      </w:hyperlink>
      <w:r>
        <w:rPr>
          <w:rFonts w:eastAsiaTheme="minorEastAsia"/>
          <w:spacing w:val="-2"/>
          <w:szCs w:val="22"/>
          <w:lang w:eastAsia="ja-JP"/>
        </w:rPr>
        <w:t xml:space="preserve"> </w:t>
      </w:r>
    </w:p>
    <w:sectPr w:rsidR="00831427" w:rsidRPr="009E2255">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2FE46" w14:textId="77777777" w:rsidR="00E65419" w:rsidRDefault="00E65419" w:rsidP="008F6916">
      <w:r>
        <w:separator/>
      </w:r>
    </w:p>
  </w:endnote>
  <w:endnote w:type="continuationSeparator" w:id="0">
    <w:p w14:paraId="67A33E44" w14:textId="77777777" w:rsidR="00E65419" w:rsidRDefault="00E65419" w:rsidP="008F6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540FE" w14:textId="77777777" w:rsidR="00414518" w:rsidRDefault="00414518" w:rsidP="00D6057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8355F5" w14:textId="77777777" w:rsidR="00414518" w:rsidRDefault="00414518" w:rsidP="00E5245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4F09D" w14:textId="658533E8" w:rsidR="00414518" w:rsidRDefault="00414518" w:rsidP="00D6057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00FE">
      <w:rPr>
        <w:rStyle w:val="PageNumber"/>
        <w:noProof/>
      </w:rPr>
      <w:t>1</w:t>
    </w:r>
    <w:r>
      <w:rPr>
        <w:rStyle w:val="PageNumber"/>
      </w:rPr>
      <w:fldChar w:fldCharType="end"/>
    </w:r>
  </w:p>
  <w:p w14:paraId="1D79B6C2" w14:textId="77777777" w:rsidR="00414518" w:rsidRDefault="00414518" w:rsidP="00E5245D">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64A2A" w14:textId="77777777" w:rsidR="00E65419" w:rsidRDefault="00E65419" w:rsidP="008F6916">
      <w:r>
        <w:separator/>
      </w:r>
    </w:p>
  </w:footnote>
  <w:footnote w:type="continuationSeparator" w:id="0">
    <w:p w14:paraId="44B6359E" w14:textId="77777777" w:rsidR="00E65419" w:rsidRDefault="00E65419" w:rsidP="008F69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45A"/>
    <w:multiLevelType w:val="hybridMultilevel"/>
    <w:tmpl w:val="ED2421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26BA5"/>
    <w:multiLevelType w:val="hybridMultilevel"/>
    <w:tmpl w:val="AB9C1B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B14D3"/>
    <w:multiLevelType w:val="hybridMultilevel"/>
    <w:tmpl w:val="0FB29A2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31DF7CD8"/>
    <w:multiLevelType w:val="hybridMultilevel"/>
    <w:tmpl w:val="82A67AB2"/>
    <w:lvl w:ilvl="0" w:tplc="C6BA59F8">
      <w:start w:val="1"/>
      <w:numFmt w:val="lowerLetter"/>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A45A3F"/>
    <w:multiLevelType w:val="hybridMultilevel"/>
    <w:tmpl w:val="BDB0976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CA0B6C"/>
    <w:multiLevelType w:val="hybridMultilevel"/>
    <w:tmpl w:val="ABC077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D8F4F15"/>
    <w:multiLevelType w:val="multilevel"/>
    <w:tmpl w:val="33CC9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A13DA1"/>
    <w:multiLevelType w:val="hybridMultilevel"/>
    <w:tmpl w:val="2962D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B75ECC"/>
    <w:multiLevelType w:val="hybridMultilevel"/>
    <w:tmpl w:val="05B2F3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07A1818"/>
    <w:multiLevelType w:val="hybridMultilevel"/>
    <w:tmpl w:val="CED41F7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F42DFF"/>
    <w:multiLevelType w:val="hybridMultilevel"/>
    <w:tmpl w:val="AA54D7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7C017A8"/>
    <w:multiLevelType w:val="hybridMultilevel"/>
    <w:tmpl w:val="947A91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F51377"/>
    <w:multiLevelType w:val="hybridMultilevel"/>
    <w:tmpl w:val="C6E26A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D436E7F"/>
    <w:multiLevelType w:val="multilevel"/>
    <w:tmpl w:val="8A1E11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lowerRoman"/>
      <w:lvlText w:val="%3."/>
      <w:lvlJc w:val="righ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FD5064E"/>
    <w:multiLevelType w:val="hybridMultilevel"/>
    <w:tmpl w:val="178223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4AC3938"/>
    <w:multiLevelType w:val="hybridMultilevel"/>
    <w:tmpl w:val="CDAAA1A6"/>
    <w:lvl w:ilvl="0" w:tplc="6A28D96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7F25FB2"/>
    <w:multiLevelType w:val="hybridMultilevel"/>
    <w:tmpl w:val="D31098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E113494"/>
    <w:multiLevelType w:val="multilevel"/>
    <w:tmpl w:val="668C7EF2"/>
    <w:lvl w:ilvl="0">
      <w:start w:val="1"/>
      <w:numFmt w:val="decimal"/>
      <w:lvlText w:val="%1"/>
      <w:lvlJc w:val="left"/>
      <w:pPr>
        <w:ind w:left="360" w:hanging="360"/>
      </w:pPr>
      <w:rPr>
        <w:rFonts w:ascii="Garamond" w:eastAsia="Calibri" w:hAnsi="Garamond" w:cs="Times New Roman"/>
      </w:rPr>
    </w:lvl>
    <w:lvl w:ilvl="1">
      <w:start w:val="1"/>
      <w:numFmt w:val="decimal"/>
      <w:lvlText w:val="%1.%2."/>
      <w:lvlJc w:val="left"/>
      <w:pPr>
        <w:ind w:left="792" w:hanging="432"/>
      </w:pPr>
    </w:lvl>
    <w:lvl w:ilvl="2">
      <w:start w:val="1"/>
      <w:numFmt w:val="lowerRoman"/>
      <w:lvlText w:val="%3."/>
      <w:lvlJc w:val="righ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5"/>
  </w:num>
  <w:num w:numId="8">
    <w:abstractNumId w:val="16"/>
  </w:num>
  <w:num w:numId="9">
    <w:abstractNumId w:val="14"/>
  </w:num>
  <w:num w:numId="10">
    <w:abstractNumId w:val="8"/>
  </w:num>
  <w:num w:numId="11">
    <w:abstractNumId w:val="3"/>
  </w:num>
  <w:num w:numId="12">
    <w:abstractNumId w:val="4"/>
  </w:num>
  <w:num w:numId="13">
    <w:abstractNumId w:val="10"/>
  </w:num>
  <w:num w:numId="14">
    <w:abstractNumId w:val="2"/>
  </w:num>
  <w:num w:numId="15">
    <w:abstractNumId w:val="0"/>
  </w:num>
  <w:num w:numId="16">
    <w:abstractNumId w:val="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18"/>
    <w:rsid w:val="00000AC0"/>
    <w:rsid w:val="00010EB2"/>
    <w:rsid w:val="00024717"/>
    <w:rsid w:val="00024F55"/>
    <w:rsid w:val="000557D1"/>
    <w:rsid w:val="00062820"/>
    <w:rsid w:val="000918CB"/>
    <w:rsid w:val="00093275"/>
    <w:rsid w:val="000932A2"/>
    <w:rsid w:val="000B0D2A"/>
    <w:rsid w:val="000B29E1"/>
    <w:rsid w:val="000B5DA7"/>
    <w:rsid w:val="000B6E4D"/>
    <w:rsid w:val="000B6EAC"/>
    <w:rsid w:val="000C1027"/>
    <w:rsid w:val="000E1E4C"/>
    <w:rsid w:val="000F2BCF"/>
    <w:rsid w:val="000F3E91"/>
    <w:rsid w:val="0010617E"/>
    <w:rsid w:val="001352DC"/>
    <w:rsid w:val="001603EC"/>
    <w:rsid w:val="0016105E"/>
    <w:rsid w:val="001622CC"/>
    <w:rsid w:val="001663EC"/>
    <w:rsid w:val="001679CE"/>
    <w:rsid w:val="00173BD8"/>
    <w:rsid w:val="00187EAB"/>
    <w:rsid w:val="001A592D"/>
    <w:rsid w:val="001B2823"/>
    <w:rsid w:val="001B340E"/>
    <w:rsid w:val="001C777F"/>
    <w:rsid w:val="001D47A9"/>
    <w:rsid w:val="001E1053"/>
    <w:rsid w:val="00221215"/>
    <w:rsid w:val="00223F8E"/>
    <w:rsid w:val="00241AAC"/>
    <w:rsid w:val="00260D11"/>
    <w:rsid w:val="0026120F"/>
    <w:rsid w:val="00267641"/>
    <w:rsid w:val="00275177"/>
    <w:rsid w:val="00284BE6"/>
    <w:rsid w:val="002917C0"/>
    <w:rsid w:val="002A4A39"/>
    <w:rsid w:val="002A7FE1"/>
    <w:rsid w:val="002B032F"/>
    <w:rsid w:val="002B403B"/>
    <w:rsid w:val="002B5C90"/>
    <w:rsid w:val="002C01D6"/>
    <w:rsid w:val="002C0D65"/>
    <w:rsid w:val="002D2B75"/>
    <w:rsid w:val="002E2B84"/>
    <w:rsid w:val="002F2F18"/>
    <w:rsid w:val="002F50FC"/>
    <w:rsid w:val="002F696E"/>
    <w:rsid w:val="00303B24"/>
    <w:rsid w:val="003049E2"/>
    <w:rsid w:val="00311597"/>
    <w:rsid w:val="00323110"/>
    <w:rsid w:val="0033747D"/>
    <w:rsid w:val="00343202"/>
    <w:rsid w:val="00377DB4"/>
    <w:rsid w:val="00386E1A"/>
    <w:rsid w:val="00392250"/>
    <w:rsid w:val="003C3547"/>
    <w:rsid w:val="003D7EB0"/>
    <w:rsid w:val="003E2FC9"/>
    <w:rsid w:val="003E510D"/>
    <w:rsid w:val="003F760E"/>
    <w:rsid w:val="004029E5"/>
    <w:rsid w:val="00414518"/>
    <w:rsid w:val="00441BEF"/>
    <w:rsid w:val="00442228"/>
    <w:rsid w:val="0044500F"/>
    <w:rsid w:val="0045349A"/>
    <w:rsid w:val="00454FEB"/>
    <w:rsid w:val="00455698"/>
    <w:rsid w:val="00460283"/>
    <w:rsid w:val="004658F1"/>
    <w:rsid w:val="00492A5A"/>
    <w:rsid w:val="004952C9"/>
    <w:rsid w:val="004B55A4"/>
    <w:rsid w:val="004C7660"/>
    <w:rsid w:val="004E45DF"/>
    <w:rsid w:val="004F4130"/>
    <w:rsid w:val="004F5C01"/>
    <w:rsid w:val="004F78DC"/>
    <w:rsid w:val="00504692"/>
    <w:rsid w:val="00514C99"/>
    <w:rsid w:val="0051712F"/>
    <w:rsid w:val="00521A1A"/>
    <w:rsid w:val="00525E79"/>
    <w:rsid w:val="00562863"/>
    <w:rsid w:val="00565C8D"/>
    <w:rsid w:val="0056631A"/>
    <w:rsid w:val="00573849"/>
    <w:rsid w:val="00587818"/>
    <w:rsid w:val="00595738"/>
    <w:rsid w:val="005B2EBE"/>
    <w:rsid w:val="005F674D"/>
    <w:rsid w:val="00604470"/>
    <w:rsid w:val="00605F1F"/>
    <w:rsid w:val="0062070F"/>
    <w:rsid w:val="006209F1"/>
    <w:rsid w:val="00653022"/>
    <w:rsid w:val="00664FF1"/>
    <w:rsid w:val="0069678F"/>
    <w:rsid w:val="00696FC3"/>
    <w:rsid w:val="006B1084"/>
    <w:rsid w:val="006B7EB3"/>
    <w:rsid w:val="006C7442"/>
    <w:rsid w:val="006E28E7"/>
    <w:rsid w:val="00713DE3"/>
    <w:rsid w:val="00722E38"/>
    <w:rsid w:val="00741312"/>
    <w:rsid w:val="007507BA"/>
    <w:rsid w:val="0075662F"/>
    <w:rsid w:val="00760329"/>
    <w:rsid w:val="00782232"/>
    <w:rsid w:val="007855C8"/>
    <w:rsid w:val="007E4BDF"/>
    <w:rsid w:val="00812603"/>
    <w:rsid w:val="00831427"/>
    <w:rsid w:val="00837269"/>
    <w:rsid w:val="00843C68"/>
    <w:rsid w:val="0085206A"/>
    <w:rsid w:val="00865593"/>
    <w:rsid w:val="008668D6"/>
    <w:rsid w:val="00880CD0"/>
    <w:rsid w:val="00884B91"/>
    <w:rsid w:val="0088658A"/>
    <w:rsid w:val="0089532B"/>
    <w:rsid w:val="008A345E"/>
    <w:rsid w:val="008B6851"/>
    <w:rsid w:val="008E19AC"/>
    <w:rsid w:val="008F3AEA"/>
    <w:rsid w:val="008F6916"/>
    <w:rsid w:val="00904ACA"/>
    <w:rsid w:val="00907307"/>
    <w:rsid w:val="0091102F"/>
    <w:rsid w:val="0091357B"/>
    <w:rsid w:val="00913D74"/>
    <w:rsid w:val="0092549C"/>
    <w:rsid w:val="00943FB9"/>
    <w:rsid w:val="00945FF2"/>
    <w:rsid w:val="0095235C"/>
    <w:rsid w:val="00955D8F"/>
    <w:rsid w:val="00961F38"/>
    <w:rsid w:val="009821D5"/>
    <w:rsid w:val="009C761C"/>
    <w:rsid w:val="009D590F"/>
    <w:rsid w:val="009E2255"/>
    <w:rsid w:val="00A00065"/>
    <w:rsid w:val="00A12860"/>
    <w:rsid w:val="00A46911"/>
    <w:rsid w:val="00A67A7C"/>
    <w:rsid w:val="00A73C5E"/>
    <w:rsid w:val="00AA7618"/>
    <w:rsid w:val="00AB2E47"/>
    <w:rsid w:val="00AC3056"/>
    <w:rsid w:val="00AD0D3C"/>
    <w:rsid w:val="00AF4301"/>
    <w:rsid w:val="00AF5C81"/>
    <w:rsid w:val="00B327AD"/>
    <w:rsid w:val="00B91F82"/>
    <w:rsid w:val="00BA4A08"/>
    <w:rsid w:val="00C0332F"/>
    <w:rsid w:val="00C130F1"/>
    <w:rsid w:val="00C3455A"/>
    <w:rsid w:val="00C36CB3"/>
    <w:rsid w:val="00C410DB"/>
    <w:rsid w:val="00C4363C"/>
    <w:rsid w:val="00C44432"/>
    <w:rsid w:val="00C57C4E"/>
    <w:rsid w:val="00C74B9E"/>
    <w:rsid w:val="00C7693E"/>
    <w:rsid w:val="00C77EFB"/>
    <w:rsid w:val="00C870FD"/>
    <w:rsid w:val="00C944E4"/>
    <w:rsid w:val="00CB2B5B"/>
    <w:rsid w:val="00CB5525"/>
    <w:rsid w:val="00CC78C9"/>
    <w:rsid w:val="00CD25E0"/>
    <w:rsid w:val="00CD3B94"/>
    <w:rsid w:val="00D03B5B"/>
    <w:rsid w:val="00D15383"/>
    <w:rsid w:val="00D20145"/>
    <w:rsid w:val="00D34757"/>
    <w:rsid w:val="00D43F60"/>
    <w:rsid w:val="00D47E2E"/>
    <w:rsid w:val="00D60178"/>
    <w:rsid w:val="00D60572"/>
    <w:rsid w:val="00D662BB"/>
    <w:rsid w:val="00DA3388"/>
    <w:rsid w:val="00DB4E1F"/>
    <w:rsid w:val="00DD1D1C"/>
    <w:rsid w:val="00DE56B4"/>
    <w:rsid w:val="00E136B7"/>
    <w:rsid w:val="00E227C5"/>
    <w:rsid w:val="00E33DBA"/>
    <w:rsid w:val="00E420C3"/>
    <w:rsid w:val="00E51059"/>
    <w:rsid w:val="00E5245D"/>
    <w:rsid w:val="00E65419"/>
    <w:rsid w:val="00EA3977"/>
    <w:rsid w:val="00EE00FE"/>
    <w:rsid w:val="00EE39F0"/>
    <w:rsid w:val="00EF523B"/>
    <w:rsid w:val="00EF55D3"/>
    <w:rsid w:val="00F01A01"/>
    <w:rsid w:val="00F20E14"/>
    <w:rsid w:val="00F24B1B"/>
    <w:rsid w:val="00F43878"/>
    <w:rsid w:val="00F64F23"/>
    <w:rsid w:val="00F82376"/>
    <w:rsid w:val="00F93F35"/>
    <w:rsid w:val="00FD472E"/>
    <w:rsid w:val="00FE3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C186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F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F2F18"/>
    <w:rPr>
      <w:rFonts w:cs="Times New Roman"/>
      <w:color w:val="0000FF"/>
      <w:u w:val="single"/>
    </w:rPr>
  </w:style>
  <w:style w:type="paragraph" w:styleId="ListParagraph">
    <w:name w:val="List Paragraph"/>
    <w:aliases w:val="Citation List,Proposal Bullet List,Use Case List Paragraph,List Paragraph Char Char,List Paragraph1,Table of contents numbered,Graphic,Resume Title,Ha,lp1,Bullet List,TOC style,Bulleted list,Bullet Points,Liste Paragraf,References,Dot pt"/>
    <w:basedOn w:val="Normal"/>
    <w:link w:val="ListParagraphChar"/>
    <w:uiPriority w:val="34"/>
    <w:qFormat/>
    <w:rsid w:val="004029E5"/>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Citation List Char,Proposal Bullet List Char,Use Case List Paragraph Char,List Paragraph Char Char Char,List Paragraph1 Char,Table of contents numbered Char,Graphic Char,Resume Title Char,Ha Char,lp1 Char,Bullet List Char,Dot pt Char"/>
    <w:basedOn w:val="DefaultParagraphFont"/>
    <w:link w:val="ListParagraph"/>
    <w:uiPriority w:val="34"/>
    <w:qFormat/>
    <w:rsid w:val="004029E5"/>
    <w:rPr>
      <w:rFonts w:ascii="Calibri" w:eastAsia="Calibri" w:hAnsi="Calibri" w:cs="Times New Roman"/>
    </w:rPr>
  </w:style>
  <w:style w:type="paragraph" w:styleId="Header">
    <w:name w:val="header"/>
    <w:basedOn w:val="Normal"/>
    <w:link w:val="HeaderChar"/>
    <w:uiPriority w:val="99"/>
    <w:unhideWhenUsed/>
    <w:rsid w:val="008F6916"/>
    <w:pPr>
      <w:tabs>
        <w:tab w:val="center" w:pos="4680"/>
        <w:tab w:val="right" w:pos="9360"/>
      </w:tabs>
    </w:pPr>
  </w:style>
  <w:style w:type="character" w:customStyle="1" w:styleId="HeaderChar">
    <w:name w:val="Header Char"/>
    <w:basedOn w:val="DefaultParagraphFont"/>
    <w:link w:val="Header"/>
    <w:uiPriority w:val="99"/>
    <w:rsid w:val="008F691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6916"/>
    <w:pPr>
      <w:tabs>
        <w:tab w:val="center" w:pos="4680"/>
        <w:tab w:val="right" w:pos="9360"/>
      </w:tabs>
    </w:pPr>
  </w:style>
  <w:style w:type="character" w:customStyle="1" w:styleId="FooterChar">
    <w:name w:val="Footer Char"/>
    <w:basedOn w:val="DefaultParagraphFont"/>
    <w:link w:val="Footer"/>
    <w:uiPriority w:val="99"/>
    <w:rsid w:val="008F691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6120F"/>
    <w:rPr>
      <w:sz w:val="16"/>
      <w:szCs w:val="16"/>
    </w:rPr>
  </w:style>
  <w:style w:type="paragraph" w:styleId="CommentText">
    <w:name w:val="annotation text"/>
    <w:basedOn w:val="Normal"/>
    <w:link w:val="CommentTextChar"/>
    <w:uiPriority w:val="99"/>
    <w:semiHidden/>
    <w:unhideWhenUsed/>
    <w:rsid w:val="0026120F"/>
    <w:rPr>
      <w:sz w:val="20"/>
      <w:szCs w:val="20"/>
    </w:rPr>
  </w:style>
  <w:style w:type="character" w:customStyle="1" w:styleId="CommentTextChar">
    <w:name w:val="Comment Text Char"/>
    <w:basedOn w:val="DefaultParagraphFont"/>
    <w:link w:val="CommentText"/>
    <w:uiPriority w:val="99"/>
    <w:semiHidden/>
    <w:rsid w:val="0026120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120F"/>
    <w:rPr>
      <w:b/>
      <w:bCs/>
    </w:rPr>
  </w:style>
  <w:style w:type="character" w:customStyle="1" w:styleId="CommentSubjectChar">
    <w:name w:val="Comment Subject Char"/>
    <w:basedOn w:val="CommentTextChar"/>
    <w:link w:val="CommentSubject"/>
    <w:uiPriority w:val="99"/>
    <w:semiHidden/>
    <w:rsid w:val="0026120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612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20F"/>
    <w:rPr>
      <w:rFonts w:ascii="Segoe UI" w:eastAsia="Times New Roman" w:hAnsi="Segoe UI" w:cs="Segoe UI"/>
      <w:sz w:val="18"/>
      <w:szCs w:val="18"/>
    </w:rPr>
  </w:style>
  <w:style w:type="paragraph" w:styleId="NormalWeb">
    <w:name w:val="Normal (Web)"/>
    <w:basedOn w:val="Normal"/>
    <w:uiPriority w:val="99"/>
    <w:unhideWhenUsed/>
    <w:rsid w:val="0062070F"/>
    <w:pPr>
      <w:spacing w:before="100" w:beforeAutospacing="1" w:after="100" w:afterAutospacing="1"/>
    </w:pPr>
  </w:style>
  <w:style w:type="character" w:styleId="FollowedHyperlink">
    <w:name w:val="FollowedHyperlink"/>
    <w:basedOn w:val="DefaultParagraphFont"/>
    <w:uiPriority w:val="99"/>
    <w:semiHidden/>
    <w:unhideWhenUsed/>
    <w:rsid w:val="0051712F"/>
    <w:rPr>
      <w:color w:val="800080" w:themeColor="followedHyperlink"/>
      <w:u w:val="single"/>
    </w:rPr>
  </w:style>
  <w:style w:type="character" w:styleId="PageNumber">
    <w:name w:val="page number"/>
    <w:basedOn w:val="DefaultParagraphFont"/>
    <w:uiPriority w:val="99"/>
    <w:semiHidden/>
    <w:unhideWhenUsed/>
    <w:rsid w:val="00E5245D"/>
  </w:style>
  <w:style w:type="paragraph" w:styleId="FootnoteText">
    <w:name w:val="footnote text"/>
    <w:aliases w:val="single space,footnote text,fn,FOOTNOTES,Footnote Text Char Char Char Char Char Char,Footnote Text Char Char Char Char1,Footnote Text Char Char Char Char Char1,Footnote Text Char Char Char Char Char,Footnote Text Char Char Char,ADB,Geneva 9"/>
    <w:basedOn w:val="Normal"/>
    <w:link w:val="FootnoteTextChar"/>
    <w:uiPriority w:val="99"/>
    <w:unhideWhenUsed/>
    <w:qFormat/>
    <w:rsid w:val="00284BE6"/>
    <w:rPr>
      <w:rFonts w:ascii="Calibri" w:eastAsia="Calibri" w:hAnsi="Calibri"/>
      <w:sz w:val="20"/>
      <w:szCs w:val="20"/>
    </w:rPr>
  </w:style>
  <w:style w:type="character" w:customStyle="1" w:styleId="FootnoteTextChar">
    <w:name w:val="Footnote Text Char"/>
    <w:aliases w:val="single space Char,footnote text Char,fn Char,FOOTNOTES Char,Footnote Text Char Char Char Char Char Char Char,Footnote Text Char Char Char Char1 Char,Footnote Text Char Char Char Char Char1 Char,Footnote Text Char Char Char Char"/>
    <w:basedOn w:val="DefaultParagraphFont"/>
    <w:link w:val="FootnoteText"/>
    <w:uiPriority w:val="99"/>
    <w:rsid w:val="00284BE6"/>
    <w:rPr>
      <w:rFonts w:ascii="Calibri" w:eastAsia="Calibri" w:hAnsi="Calibri" w:cs="Times New Roman"/>
      <w:sz w:val="20"/>
      <w:szCs w:val="20"/>
    </w:rPr>
  </w:style>
  <w:style w:type="character" w:styleId="FootnoteReference">
    <w:name w:val="footnote reference"/>
    <w:aliases w:val="fr,Used by Word for Help footnote symbols,16 Point,Superscript 6 Point,ftref, BVI fnr,BVI fnr,Char Char Char Char Car Char,Footnote Reference Number,Footnotes refss,Знак сноски 1,Ref,de nota al pie,Footnote,footnote ref,Знак сноски-FN"/>
    <w:basedOn w:val="DefaultParagraphFont"/>
    <w:link w:val="CharChar1CharCharCharChar1CharCharCharCharCharCharCharChar"/>
    <w:uiPriority w:val="99"/>
    <w:unhideWhenUsed/>
    <w:qFormat/>
    <w:rsid w:val="00284BE6"/>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284BE6"/>
    <w:pPr>
      <w:spacing w:after="160" w:line="240" w:lineRule="exact"/>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319495">
      <w:bodyDiv w:val="1"/>
      <w:marLeft w:val="0"/>
      <w:marRight w:val="0"/>
      <w:marTop w:val="0"/>
      <w:marBottom w:val="0"/>
      <w:divBdr>
        <w:top w:val="none" w:sz="0" w:space="0" w:color="auto"/>
        <w:left w:val="none" w:sz="0" w:space="0" w:color="auto"/>
        <w:bottom w:val="none" w:sz="0" w:space="0" w:color="auto"/>
        <w:right w:val="none" w:sz="0" w:space="0" w:color="auto"/>
      </w:divBdr>
    </w:div>
    <w:div w:id="1372463691">
      <w:bodyDiv w:val="1"/>
      <w:marLeft w:val="0"/>
      <w:marRight w:val="0"/>
      <w:marTop w:val="0"/>
      <w:marBottom w:val="0"/>
      <w:divBdr>
        <w:top w:val="none" w:sz="0" w:space="0" w:color="auto"/>
        <w:left w:val="none" w:sz="0" w:space="0" w:color="auto"/>
        <w:bottom w:val="none" w:sz="0" w:space="0" w:color="auto"/>
        <w:right w:val="none" w:sz="0" w:space="0" w:color="auto"/>
      </w:divBdr>
    </w:div>
    <w:div w:id="183980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ag.gov.s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ag@oag.gov.s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crfrecruitment@mof.gov.so" TargetMode="External"/><Relationship Id="rId4" Type="http://schemas.openxmlformats.org/officeDocument/2006/relationships/webSettings" Target="webSettings.xml"/><Relationship Id="rId9" Type="http://schemas.openxmlformats.org/officeDocument/2006/relationships/hyperlink" Target="mailto:procurement@oag.gov.s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7</cp:revision>
  <cp:lastPrinted>2019-03-04T11:25:00Z</cp:lastPrinted>
  <dcterms:created xsi:type="dcterms:W3CDTF">2021-10-11T12:05:00Z</dcterms:created>
  <dcterms:modified xsi:type="dcterms:W3CDTF">2022-05-03T05:48:00Z</dcterms:modified>
</cp:coreProperties>
</file>